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42F7" w:rsidRDefault="005C42F7" w:rsidP="001E4356">
      <w:pPr>
        <w:spacing w:after="0"/>
        <w:jc w:val="both"/>
        <w:rPr>
          <w:b/>
          <w:sz w:val="28"/>
          <w:szCs w:val="28"/>
        </w:rPr>
      </w:pPr>
    </w:p>
    <w:p w:rsidR="005C42F7" w:rsidRDefault="00706FB2" w:rsidP="001E4356">
      <w:pPr>
        <w:spacing w:after="0"/>
        <w:jc w:val="both"/>
        <w:rPr>
          <w:b/>
          <w:sz w:val="28"/>
          <w:szCs w:val="28"/>
        </w:rPr>
      </w:pPr>
      <w:r w:rsidRPr="00706FB2">
        <w:rPr>
          <w:rFonts w:asciiTheme="minorHAnsi" w:eastAsiaTheme="minorHAnsi" w:hAnsiTheme="minorHAnsi" w:cstheme="minorBidi"/>
          <w:b/>
          <w:noProof/>
          <w:color w:val="0070C0"/>
          <w:sz w:val="22"/>
          <w:szCs w:val="22"/>
          <w:lang w:eastAsia="ro-RO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A18603D" wp14:editId="6430B35D">
                <wp:simplePos x="0" y="0"/>
                <wp:positionH relativeFrom="margin">
                  <wp:align>center</wp:align>
                </wp:positionH>
                <wp:positionV relativeFrom="paragraph">
                  <wp:posOffset>106157</wp:posOffset>
                </wp:positionV>
                <wp:extent cx="5181600" cy="619125"/>
                <wp:effectExtent l="57150" t="38100" r="76200" b="104775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81600" cy="619125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4F81B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4F81B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4F81B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19050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  <a:softEdge rad="12700"/>
                        </a:effectLst>
                      </wps:spPr>
                      <wps:txbx>
                        <w:txbxContent>
                          <w:p w:rsidR="00824DDD" w:rsidRPr="00806790" w:rsidRDefault="00824DDD" w:rsidP="00706FB2">
                            <w:pPr>
                              <w:jc w:val="center"/>
                              <w:rPr>
                                <w:b/>
                                <w:color w:val="002060"/>
                                <w:szCs w:val="20"/>
                              </w:rPr>
                            </w:pPr>
                            <w:r w:rsidRPr="00806790">
                              <w:rPr>
                                <w:b/>
                                <w:color w:val="002060"/>
                                <w:szCs w:val="20"/>
                              </w:rPr>
                              <w:t>PROGRAMUL OPERAȚIONAL CAPITAL UMAN – PROGRAMUL OPERAȚIONAL REGIONAL</w:t>
                            </w:r>
                          </w:p>
                          <w:p w:rsidR="00824DDD" w:rsidRPr="00806790" w:rsidRDefault="00824DDD" w:rsidP="00706FB2">
                            <w:pPr>
                              <w:jc w:val="center"/>
                              <w:rPr>
                                <w:color w:val="002060"/>
                              </w:rPr>
                            </w:pPr>
                            <w:r w:rsidRPr="00806790">
                              <w:rPr>
                                <w:b/>
                                <w:color w:val="002060"/>
                                <w:szCs w:val="20"/>
                              </w:rPr>
                              <w:t>DEZVOLTARE LOCALĂ PLASATĂ SUB RESPONSABILITATEA COMUNITĂȚII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A18603D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0;margin-top:8.35pt;width:408pt;height:48.75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" fillcolor="#a3c4ff" strokecolor="#4a7ebb" strokeweight="1.5pt">
                <v:fill color2="#e5eeff" rotate="t" angle="180" colors="0 #a3c4ff;22938f #bfd5ff;1 #e5eeff" focus="100%" type="gradient"/>
                <v:shadow on="t" color="black" opacity="24903f" origin=",.5" offset="0,.55556mm"/>
                <v:textbox>
                  <w:txbxContent>
                    <w:p w:rsidR="00824DDD" w:rsidRPr="00806790" w:rsidRDefault="00824DDD" w:rsidP="00706FB2">
                      <w:pPr>
                        <w:jc w:val="center"/>
                        <w:rPr>
                          <w:b/>
                          <w:color w:val="002060"/>
                          <w:szCs w:val="20"/>
                        </w:rPr>
                      </w:pPr>
                      <w:r w:rsidRPr="00806790">
                        <w:rPr>
                          <w:b/>
                          <w:color w:val="002060"/>
                          <w:szCs w:val="20"/>
                        </w:rPr>
                        <w:t>PROGRAMUL OPERAȚIONAL CAPITAL UMAN – PROGRAMUL OPERAȚIONAL REGIONAL</w:t>
                      </w:r>
                    </w:p>
                    <w:p w:rsidR="00824DDD" w:rsidRPr="00806790" w:rsidRDefault="00824DDD" w:rsidP="00706FB2">
                      <w:pPr>
                        <w:jc w:val="center"/>
                        <w:rPr>
                          <w:color w:val="002060"/>
                        </w:rPr>
                      </w:pPr>
                      <w:r w:rsidRPr="00806790">
                        <w:rPr>
                          <w:b/>
                          <w:color w:val="002060"/>
                          <w:szCs w:val="20"/>
                        </w:rPr>
                        <w:t>DEZVOLTARE LOCALĂ PLASATĂ SUB RESPONSABILITATEA COMUNITĂȚII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5C42F7" w:rsidRDefault="005C42F7" w:rsidP="001E4356">
      <w:pPr>
        <w:spacing w:after="0"/>
        <w:jc w:val="both"/>
        <w:rPr>
          <w:b/>
          <w:sz w:val="28"/>
          <w:szCs w:val="28"/>
        </w:rPr>
      </w:pPr>
    </w:p>
    <w:p w:rsidR="005C42F7" w:rsidRDefault="005C42F7" w:rsidP="001E4356">
      <w:pPr>
        <w:spacing w:after="0"/>
        <w:jc w:val="both"/>
        <w:rPr>
          <w:b/>
          <w:sz w:val="28"/>
          <w:szCs w:val="28"/>
        </w:rPr>
      </w:pPr>
    </w:p>
    <w:p w:rsidR="005C42F7" w:rsidRDefault="005C42F7" w:rsidP="001E4356">
      <w:pPr>
        <w:spacing w:after="0"/>
        <w:jc w:val="both"/>
        <w:rPr>
          <w:b/>
          <w:sz w:val="28"/>
          <w:szCs w:val="28"/>
        </w:rPr>
      </w:pPr>
    </w:p>
    <w:p w:rsidR="005C42F7" w:rsidRDefault="005C42F7" w:rsidP="001E4356">
      <w:pPr>
        <w:spacing w:after="0"/>
        <w:jc w:val="both"/>
        <w:rPr>
          <w:b/>
          <w:sz w:val="28"/>
          <w:szCs w:val="28"/>
        </w:rPr>
      </w:pPr>
    </w:p>
    <w:p w:rsidR="005C42F7" w:rsidRDefault="005C42F7" w:rsidP="001E4356">
      <w:pPr>
        <w:spacing w:after="0"/>
        <w:jc w:val="both"/>
        <w:rPr>
          <w:b/>
          <w:sz w:val="28"/>
          <w:szCs w:val="28"/>
        </w:rPr>
      </w:pPr>
    </w:p>
    <w:p w:rsidR="005C42F7" w:rsidRDefault="005C42F7" w:rsidP="001E4356">
      <w:pPr>
        <w:spacing w:after="0"/>
        <w:jc w:val="both"/>
        <w:rPr>
          <w:b/>
          <w:sz w:val="28"/>
          <w:szCs w:val="28"/>
        </w:rPr>
      </w:pPr>
    </w:p>
    <w:p w:rsidR="005C42F7" w:rsidRDefault="005C42F7" w:rsidP="001E4356">
      <w:pPr>
        <w:spacing w:after="0"/>
        <w:jc w:val="both"/>
        <w:rPr>
          <w:b/>
          <w:sz w:val="28"/>
          <w:szCs w:val="28"/>
        </w:rPr>
      </w:pPr>
    </w:p>
    <w:p w:rsidR="00DD27AA" w:rsidRDefault="00DD27AA" w:rsidP="001E4356">
      <w:pPr>
        <w:spacing w:after="0"/>
        <w:jc w:val="both"/>
        <w:rPr>
          <w:b/>
          <w:sz w:val="28"/>
          <w:szCs w:val="28"/>
        </w:rPr>
      </w:pPr>
    </w:p>
    <w:p w:rsidR="00DD27AA" w:rsidRDefault="00DD27AA" w:rsidP="001E4356">
      <w:pPr>
        <w:spacing w:after="0"/>
        <w:jc w:val="both"/>
        <w:rPr>
          <w:b/>
          <w:sz w:val="28"/>
          <w:szCs w:val="28"/>
        </w:rPr>
      </w:pPr>
    </w:p>
    <w:p w:rsidR="002A6F31" w:rsidRDefault="002A6F31" w:rsidP="001E4356">
      <w:pPr>
        <w:spacing w:after="0"/>
        <w:jc w:val="both"/>
        <w:rPr>
          <w:b/>
          <w:sz w:val="28"/>
          <w:szCs w:val="28"/>
        </w:rPr>
      </w:pPr>
    </w:p>
    <w:p w:rsidR="002A6F31" w:rsidRDefault="002A6F31" w:rsidP="001E4356">
      <w:pPr>
        <w:spacing w:after="0"/>
        <w:jc w:val="both"/>
        <w:rPr>
          <w:b/>
          <w:sz w:val="28"/>
          <w:szCs w:val="28"/>
        </w:rPr>
      </w:pPr>
    </w:p>
    <w:p w:rsidR="00DD27AA" w:rsidRDefault="00DD27AA" w:rsidP="001E4356">
      <w:pPr>
        <w:spacing w:after="0"/>
        <w:jc w:val="both"/>
        <w:rPr>
          <w:b/>
          <w:sz w:val="28"/>
          <w:szCs w:val="28"/>
        </w:rPr>
      </w:pPr>
    </w:p>
    <w:p w:rsidR="00DD27AA" w:rsidRDefault="00DD27AA" w:rsidP="001E4356">
      <w:pPr>
        <w:spacing w:after="0"/>
        <w:jc w:val="both"/>
        <w:rPr>
          <w:b/>
          <w:sz w:val="28"/>
          <w:szCs w:val="28"/>
        </w:rPr>
      </w:pPr>
    </w:p>
    <w:p w:rsidR="005C42F7" w:rsidRPr="00DD27AA" w:rsidRDefault="005C42F7" w:rsidP="001E4356">
      <w:pPr>
        <w:spacing w:after="0"/>
        <w:jc w:val="both"/>
        <w:rPr>
          <w:b/>
          <w:color w:val="002060"/>
          <w:sz w:val="28"/>
          <w:szCs w:val="28"/>
        </w:rPr>
      </w:pPr>
    </w:p>
    <w:p w:rsidR="00824DDD" w:rsidRPr="00DD27AA" w:rsidRDefault="00824DDD" w:rsidP="001E4356">
      <w:pPr>
        <w:spacing w:after="0"/>
        <w:jc w:val="center"/>
        <w:rPr>
          <w:b/>
          <w:color w:val="002060"/>
          <w:sz w:val="28"/>
          <w:szCs w:val="28"/>
        </w:rPr>
      </w:pPr>
      <w:r w:rsidRPr="00DD27AA">
        <w:rPr>
          <w:b/>
          <w:color w:val="002060"/>
          <w:sz w:val="28"/>
          <w:szCs w:val="28"/>
        </w:rPr>
        <w:t>GHIDUL SPECIFIC</w:t>
      </w:r>
    </w:p>
    <w:p w:rsidR="00824DDD" w:rsidRPr="00DD27AA" w:rsidRDefault="00824DDD" w:rsidP="001E4356">
      <w:pPr>
        <w:spacing w:after="0"/>
        <w:jc w:val="both"/>
        <w:rPr>
          <w:b/>
          <w:color w:val="002060"/>
          <w:sz w:val="28"/>
          <w:szCs w:val="28"/>
        </w:rPr>
      </w:pPr>
    </w:p>
    <w:p w:rsidR="00824DDD" w:rsidRPr="00DD27AA" w:rsidRDefault="00824DDD" w:rsidP="001E4356">
      <w:pPr>
        <w:spacing w:after="0"/>
        <w:jc w:val="center"/>
        <w:rPr>
          <w:b/>
          <w:color w:val="002060"/>
          <w:sz w:val="28"/>
          <w:szCs w:val="28"/>
        </w:rPr>
      </w:pPr>
      <w:r w:rsidRPr="00DD27AA">
        <w:rPr>
          <w:b/>
          <w:color w:val="002060"/>
          <w:sz w:val="28"/>
          <w:szCs w:val="28"/>
        </w:rPr>
        <w:t xml:space="preserve">privind depunerea și selecția Strategiilor de Dezvoltare Locală </w:t>
      </w:r>
    </w:p>
    <w:p w:rsidR="00824DDD" w:rsidRPr="00DD27AA" w:rsidRDefault="00824DDD" w:rsidP="001E4356">
      <w:pPr>
        <w:spacing w:after="0"/>
        <w:jc w:val="center"/>
        <w:rPr>
          <w:b/>
          <w:color w:val="002060"/>
          <w:sz w:val="28"/>
          <w:szCs w:val="28"/>
        </w:rPr>
      </w:pPr>
      <w:r w:rsidRPr="00DD27AA">
        <w:rPr>
          <w:b/>
          <w:color w:val="002060"/>
          <w:sz w:val="28"/>
          <w:szCs w:val="28"/>
        </w:rPr>
        <w:t xml:space="preserve"> </w:t>
      </w:r>
    </w:p>
    <w:p w:rsidR="005C42F7" w:rsidRPr="00DD27AA" w:rsidRDefault="005C7AC9" w:rsidP="00562D04">
      <w:pPr>
        <w:pStyle w:val="ListParagraph"/>
        <w:spacing w:after="0"/>
        <w:contextualSpacing w:val="0"/>
        <w:jc w:val="center"/>
        <w:rPr>
          <w:b/>
          <w:color w:val="002060"/>
          <w:sz w:val="28"/>
          <w:szCs w:val="28"/>
        </w:rPr>
      </w:pPr>
      <w:r>
        <w:rPr>
          <w:b/>
          <w:color w:val="002060"/>
          <w:sz w:val="28"/>
          <w:szCs w:val="28"/>
        </w:rPr>
        <w:t>Etapa a II-</w:t>
      </w:r>
      <w:r w:rsidR="00824DDD" w:rsidRPr="00DD27AA">
        <w:rPr>
          <w:b/>
          <w:color w:val="002060"/>
          <w:sz w:val="28"/>
          <w:szCs w:val="28"/>
        </w:rPr>
        <w:t>a mecanismului DLRC</w:t>
      </w:r>
    </w:p>
    <w:p w:rsidR="005C42F7" w:rsidRPr="00DD27AA" w:rsidRDefault="005C42F7" w:rsidP="001E4356">
      <w:pPr>
        <w:spacing w:after="0"/>
        <w:jc w:val="both"/>
        <w:rPr>
          <w:b/>
          <w:color w:val="002060"/>
          <w:sz w:val="28"/>
          <w:szCs w:val="28"/>
        </w:rPr>
      </w:pPr>
    </w:p>
    <w:p w:rsidR="005C42F7" w:rsidRDefault="005C42F7" w:rsidP="001E4356">
      <w:pPr>
        <w:spacing w:after="0"/>
        <w:jc w:val="both"/>
        <w:rPr>
          <w:b/>
          <w:sz w:val="28"/>
          <w:szCs w:val="28"/>
        </w:rPr>
      </w:pPr>
    </w:p>
    <w:p w:rsidR="005C42F7" w:rsidRDefault="005C42F7" w:rsidP="001E4356">
      <w:pPr>
        <w:spacing w:after="0"/>
        <w:jc w:val="both"/>
        <w:rPr>
          <w:b/>
          <w:sz w:val="28"/>
          <w:szCs w:val="28"/>
        </w:rPr>
      </w:pPr>
    </w:p>
    <w:p w:rsidR="005C42F7" w:rsidRDefault="005C42F7" w:rsidP="001E4356">
      <w:pPr>
        <w:spacing w:after="0"/>
        <w:jc w:val="both"/>
        <w:rPr>
          <w:b/>
          <w:sz w:val="28"/>
          <w:szCs w:val="28"/>
        </w:rPr>
      </w:pPr>
    </w:p>
    <w:p w:rsidR="005C42F7" w:rsidRDefault="005C42F7" w:rsidP="001E4356">
      <w:pPr>
        <w:spacing w:after="0"/>
        <w:jc w:val="both"/>
        <w:rPr>
          <w:b/>
          <w:sz w:val="28"/>
          <w:szCs w:val="28"/>
        </w:rPr>
      </w:pPr>
    </w:p>
    <w:p w:rsidR="00133785" w:rsidRPr="00706FB2" w:rsidRDefault="00133785" w:rsidP="001E4356">
      <w:pPr>
        <w:spacing w:after="0"/>
        <w:rPr>
          <w:b/>
          <w:sz w:val="24"/>
          <w:lang w:val="fr-FR"/>
        </w:rPr>
      </w:pPr>
    </w:p>
    <w:p w:rsidR="00133785" w:rsidRPr="00BD42D8" w:rsidRDefault="00133785" w:rsidP="001E4356">
      <w:pPr>
        <w:spacing w:after="0"/>
        <w:rPr>
          <w:b/>
          <w:sz w:val="24"/>
        </w:rPr>
      </w:pPr>
    </w:p>
    <w:p w:rsidR="00133785" w:rsidRPr="00BD42D8" w:rsidRDefault="00133785" w:rsidP="001E4356">
      <w:pPr>
        <w:spacing w:after="0"/>
        <w:rPr>
          <w:b/>
          <w:sz w:val="24"/>
        </w:rPr>
      </w:pPr>
    </w:p>
    <w:p w:rsidR="00133785" w:rsidRDefault="00133785" w:rsidP="001E4356">
      <w:pPr>
        <w:spacing w:after="0"/>
        <w:rPr>
          <w:b/>
          <w:sz w:val="24"/>
        </w:rPr>
      </w:pPr>
    </w:p>
    <w:p w:rsidR="00F077A6" w:rsidRDefault="00F077A6" w:rsidP="001E4356">
      <w:pPr>
        <w:spacing w:after="0"/>
        <w:rPr>
          <w:b/>
          <w:sz w:val="24"/>
        </w:rPr>
      </w:pPr>
    </w:p>
    <w:p w:rsidR="00F077A6" w:rsidRDefault="00F077A6" w:rsidP="001E4356">
      <w:pPr>
        <w:spacing w:after="0"/>
        <w:rPr>
          <w:b/>
          <w:sz w:val="24"/>
        </w:rPr>
      </w:pPr>
    </w:p>
    <w:p w:rsidR="00F077A6" w:rsidRDefault="00F077A6" w:rsidP="001E4356">
      <w:pPr>
        <w:spacing w:after="0"/>
        <w:rPr>
          <w:b/>
          <w:sz w:val="24"/>
        </w:rPr>
      </w:pPr>
    </w:p>
    <w:p w:rsidR="00F077A6" w:rsidRDefault="00F077A6" w:rsidP="001E4356">
      <w:pPr>
        <w:spacing w:after="0"/>
        <w:rPr>
          <w:b/>
          <w:sz w:val="24"/>
        </w:rPr>
      </w:pPr>
    </w:p>
    <w:p w:rsidR="00F077A6" w:rsidRDefault="00F077A6" w:rsidP="001E4356">
      <w:pPr>
        <w:spacing w:after="0"/>
        <w:rPr>
          <w:b/>
          <w:sz w:val="24"/>
        </w:rPr>
      </w:pPr>
    </w:p>
    <w:p w:rsidR="00F077A6" w:rsidRDefault="00F077A6" w:rsidP="001E4356">
      <w:pPr>
        <w:spacing w:after="0"/>
        <w:rPr>
          <w:b/>
          <w:sz w:val="24"/>
        </w:rPr>
      </w:pPr>
    </w:p>
    <w:p w:rsidR="00F077A6" w:rsidRDefault="00F077A6" w:rsidP="001E4356">
      <w:pPr>
        <w:spacing w:after="0"/>
        <w:rPr>
          <w:b/>
          <w:sz w:val="24"/>
        </w:rPr>
      </w:pPr>
    </w:p>
    <w:p w:rsidR="00F077A6" w:rsidRDefault="00F077A6" w:rsidP="001E4356">
      <w:pPr>
        <w:spacing w:after="0"/>
        <w:rPr>
          <w:b/>
          <w:sz w:val="24"/>
        </w:rPr>
      </w:pPr>
    </w:p>
    <w:p w:rsidR="00F077A6" w:rsidRDefault="00F077A6" w:rsidP="001E4356">
      <w:pPr>
        <w:spacing w:after="0"/>
        <w:rPr>
          <w:b/>
          <w:sz w:val="24"/>
        </w:rPr>
      </w:pPr>
    </w:p>
    <w:p w:rsidR="00F077A6" w:rsidRDefault="00F077A6" w:rsidP="001E4356">
      <w:pPr>
        <w:spacing w:after="0"/>
        <w:rPr>
          <w:b/>
          <w:sz w:val="24"/>
        </w:rPr>
      </w:pPr>
    </w:p>
    <w:p w:rsidR="00F077A6" w:rsidRDefault="00F077A6" w:rsidP="001E4356">
      <w:pPr>
        <w:spacing w:after="0"/>
        <w:rPr>
          <w:b/>
          <w:sz w:val="24"/>
        </w:rPr>
      </w:pPr>
    </w:p>
    <w:p w:rsidR="00F077A6" w:rsidRDefault="00F077A6" w:rsidP="001E4356">
      <w:pPr>
        <w:spacing w:after="0"/>
        <w:rPr>
          <w:b/>
          <w:sz w:val="24"/>
        </w:rPr>
      </w:pPr>
    </w:p>
    <w:p w:rsidR="00F077A6" w:rsidRDefault="00F077A6" w:rsidP="001E4356">
      <w:pPr>
        <w:spacing w:after="0"/>
        <w:rPr>
          <w:b/>
          <w:sz w:val="24"/>
        </w:rPr>
      </w:pPr>
    </w:p>
    <w:p w:rsidR="00F077A6" w:rsidRDefault="00F077A6" w:rsidP="001E4356">
      <w:pPr>
        <w:spacing w:after="0"/>
        <w:rPr>
          <w:b/>
          <w:sz w:val="24"/>
        </w:rPr>
      </w:pPr>
    </w:p>
    <w:p w:rsidR="00F077A6" w:rsidRDefault="00F077A6" w:rsidP="001E4356">
      <w:pPr>
        <w:spacing w:after="0"/>
        <w:rPr>
          <w:b/>
          <w:sz w:val="24"/>
        </w:rPr>
      </w:pPr>
    </w:p>
    <w:p w:rsidR="00F077A6" w:rsidRPr="00BD42D8" w:rsidRDefault="00F077A6" w:rsidP="001E4356">
      <w:pPr>
        <w:spacing w:after="0"/>
        <w:rPr>
          <w:b/>
          <w:sz w:val="24"/>
        </w:rPr>
      </w:pPr>
    </w:p>
    <w:p w:rsidR="00133785" w:rsidRPr="00BD42D8" w:rsidRDefault="00133785" w:rsidP="001E4356">
      <w:pPr>
        <w:spacing w:after="0"/>
        <w:rPr>
          <w:b/>
          <w:sz w:val="24"/>
        </w:rPr>
      </w:pPr>
    </w:p>
    <w:p w:rsidR="00133785" w:rsidRPr="00BD42D8" w:rsidRDefault="00133785" w:rsidP="001E4356">
      <w:pPr>
        <w:spacing w:after="0"/>
        <w:rPr>
          <w:b/>
          <w:sz w:val="24"/>
        </w:rPr>
      </w:pPr>
    </w:p>
    <w:sdt>
      <w:sdtPr>
        <w:rPr>
          <w:rFonts w:ascii="Trebuchet MS" w:eastAsia="Times New Roman" w:hAnsi="Trebuchet MS" w:cs="Times New Roman"/>
          <w:b w:val="0"/>
          <w:bCs w:val="0"/>
          <w:color w:val="auto"/>
          <w:sz w:val="24"/>
          <w:szCs w:val="24"/>
          <w:lang w:val="ro-RO" w:eastAsia="en-US"/>
        </w:rPr>
        <w:id w:val="-1254967849"/>
        <w:docPartObj>
          <w:docPartGallery w:val="Table of Contents"/>
          <w:docPartUnique/>
        </w:docPartObj>
      </w:sdtPr>
      <w:sdtEndPr>
        <w:rPr>
          <w:sz w:val="20"/>
          <w:szCs w:val="20"/>
        </w:rPr>
      </w:sdtEndPr>
      <w:sdtContent>
        <w:p w:rsidR="00530F29" w:rsidRPr="002A6F31" w:rsidRDefault="00530F29" w:rsidP="001E4356">
          <w:pPr>
            <w:pStyle w:val="TOCHeading"/>
            <w:spacing w:before="0"/>
            <w:rPr>
              <w:rFonts w:ascii="Trebuchet MS" w:eastAsia="Times New Roman" w:hAnsi="Trebuchet MS" w:cs="Times New Roman"/>
              <w:bCs w:val="0"/>
              <w:color w:val="002060"/>
              <w:sz w:val="24"/>
              <w:szCs w:val="24"/>
              <w:lang w:val="ro-RO" w:eastAsia="en-US"/>
            </w:rPr>
          </w:pPr>
          <w:r w:rsidRPr="002A6F31">
            <w:rPr>
              <w:rFonts w:ascii="Trebuchet MS" w:eastAsia="Times New Roman" w:hAnsi="Trebuchet MS" w:cs="Times New Roman"/>
              <w:bCs w:val="0"/>
              <w:color w:val="002060"/>
              <w:sz w:val="24"/>
              <w:szCs w:val="24"/>
              <w:lang w:val="ro-RO" w:eastAsia="en-US"/>
            </w:rPr>
            <w:t>C</w:t>
          </w:r>
          <w:r w:rsidR="00411879" w:rsidRPr="002A6F31">
            <w:rPr>
              <w:rFonts w:ascii="Trebuchet MS" w:eastAsia="Times New Roman" w:hAnsi="Trebuchet MS" w:cs="Times New Roman"/>
              <w:bCs w:val="0"/>
              <w:color w:val="002060"/>
              <w:sz w:val="24"/>
              <w:szCs w:val="24"/>
              <w:lang w:val="ro-RO" w:eastAsia="en-US"/>
            </w:rPr>
            <w:t>uprins</w:t>
          </w:r>
        </w:p>
        <w:p w:rsidR="00411879" w:rsidRPr="00BD42D8" w:rsidRDefault="00411879" w:rsidP="001E4356">
          <w:pPr>
            <w:spacing w:after="0"/>
            <w:rPr>
              <w:sz w:val="24"/>
            </w:rPr>
          </w:pPr>
        </w:p>
        <w:p w:rsidR="00C7049F" w:rsidRDefault="00530F29">
          <w:pPr>
            <w:pStyle w:val="TOC1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o-RO"/>
            </w:rPr>
          </w:pPr>
          <w:r w:rsidRPr="00F92AD1">
            <w:rPr>
              <w:szCs w:val="20"/>
            </w:rPr>
            <w:fldChar w:fldCharType="begin"/>
          </w:r>
          <w:r w:rsidRPr="00F92AD1">
            <w:rPr>
              <w:szCs w:val="20"/>
            </w:rPr>
            <w:instrText xml:space="preserve"> TOC \o "1-3" \h \z \u </w:instrText>
          </w:r>
          <w:r w:rsidRPr="00F92AD1">
            <w:rPr>
              <w:szCs w:val="20"/>
            </w:rPr>
            <w:fldChar w:fldCharType="separate"/>
          </w:r>
          <w:hyperlink w:anchor="_Toc485991234" w:history="1">
            <w:r w:rsidR="00C7049F" w:rsidRPr="00C7049F">
              <w:rPr>
                <w:rStyle w:val="Hyperlink"/>
                <w:b/>
                <w:noProof/>
                <w:color w:val="0070C0"/>
              </w:rPr>
              <w:t>1.</w:t>
            </w:r>
            <w:r w:rsidR="00C7049F" w:rsidRPr="00C7049F">
              <w:rPr>
                <w:rFonts w:asciiTheme="minorHAnsi" w:eastAsiaTheme="minorEastAsia" w:hAnsiTheme="minorHAnsi" w:cstheme="minorBidi"/>
                <w:b/>
                <w:noProof/>
                <w:color w:val="0070C0"/>
                <w:sz w:val="22"/>
                <w:szCs w:val="22"/>
                <w:lang w:eastAsia="ro-RO"/>
              </w:rPr>
              <w:tab/>
            </w:r>
            <w:r w:rsidR="00C7049F" w:rsidRPr="00C7049F">
              <w:rPr>
                <w:rStyle w:val="Hyperlink"/>
                <w:b/>
                <w:noProof/>
                <w:color w:val="0070C0"/>
              </w:rPr>
              <w:t>Introducere</w:t>
            </w:r>
            <w:r w:rsidR="00C7049F">
              <w:rPr>
                <w:noProof/>
                <w:webHidden/>
              </w:rPr>
              <w:tab/>
            </w:r>
            <w:r w:rsidR="00C7049F">
              <w:rPr>
                <w:noProof/>
                <w:webHidden/>
              </w:rPr>
              <w:fldChar w:fldCharType="begin"/>
            </w:r>
            <w:r w:rsidR="00C7049F">
              <w:rPr>
                <w:noProof/>
                <w:webHidden/>
              </w:rPr>
              <w:instrText xml:space="preserve"> PAGEREF _Toc485991234 \h </w:instrText>
            </w:r>
            <w:r w:rsidR="00C7049F">
              <w:rPr>
                <w:noProof/>
                <w:webHidden/>
              </w:rPr>
            </w:r>
            <w:r w:rsidR="00C7049F">
              <w:rPr>
                <w:noProof/>
                <w:webHidden/>
              </w:rPr>
              <w:fldChar w:fldCharType="separate"/>
            </w:r>
            <w:r w:rsidR="00DA2779">
              <w:rPr>
                <w:noProof/>
                <w:webHidden/>
              </w:rPr>
              <w:t>3</w:t>
            </w:r>
            <w:r w:rsidR="00C7049F">
              <w:rPr>
                <w:noProof/>
                <w:webHidden/>
              </w:rPr>
              <w:fldChar w:fldCharType="end"/>
            </w:r>
          </w:hyperlink>
        </w:p>
        <w:p w:rsidR="00C7049F" w:rsidRDefault="008362F8">
          <w:pPr>
            <w:pStyle w:val="TOC1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o-RO"/>
            </w:rPr>
          </w:pPr>
          <w:hyperlink w:anchor="_Toc485991235" w:history="1">
            <w:r w:rsidR="00C7049F" w:rsidRPr="00D66506">
              <w:rPr>
                <w:rStyle w:val="Hyperlink"/>
                <w:rFonts w:ascii="Wingdings" w:hAnsi="Wingdings"/>
                <w:noProof/>
              </w:rPr>
              <w:t></w:t>
            </w:r>
            <w:r w:rsidR="00C7049F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o-RO"/>
              </w:rPr>
              <w:tab/>
            </w:r>
            <w:r w:rsidR="00C7049F" w:rsidRPr="00D66506">
              <w:rPr>
                <w:rStyle w:val="Hyperlink"/>
                <w:noProof/>
              </w:rPr>
              <w:t>Instrumentul DLRC pentru orașele României</w:t>
            </w:r>
            <w:r w:rsidR="00C7049F">
              <w:rPr>
                <w:noProof/>
                <w:webHidden/>
              </w:rPr>
              <w:tab/>
            </w:r>
            <w:r w:rsidR="00C7049F">
              <w:rPr>
                <w:noProof/>
                <w:webHidden/>
              </w:rPr>
              <w:fldChar w:fldCharType="begin"/>
            </w:r>
            <w:r w:rsidR="00C7049F">
              <w:rPr>
                <w:noProof/>
                <w:webHidden/>
              </w:rPr>
              <w:instrText xml:space="preserve"> PAGEREF _Toc485991235 \h </w:instrText>
            </w:r>
            <w:r w:rsidR="00C7049F">
              <w:rPr>
                <w:noProof/>
                <w:webHidden/>
              </w:rPr>
            </w:r>
            <w:r w:rsidR="00C7049F">
              <w:rPr>
                <w:noProof/>
                <w:webHidden/>
              </w:rPr>
              <w:fldChar w:fldCharType="separate"/>
            </w:r>
            <w:r w:rsidR="00DA2779">
              <w:rPr>
                <w:noProof/>
                <w:webHidden/>
              </w:rPr>
              <w:t>3</w:t>
            </w:r>
            <w:r w:rsidR="00C7049F">
              <w:rPr>
                <w:noProof/>
                <w:webHidden/>
              </w:rPr>
              <w:fldChar w:fldCharType="end"/>
            </w:r>
          </w:hyperlink>
        </w:p>
        <w:p w:rsidR="00C7049F" w:rsidRDefault="008362F8">
          <w:pPr>
            <w:pStyle w:val="TOC1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o-RO"/>
            </w:rPr>
          </w:pPr>
          <w:hyperlink w:anchor="_Toc485991236" w:history="1">
            <w:r w:rsidR="00C7049F" w:rsidRPr="00D66506">
              <w:rPr>
                <w:rStyle w:val="Hyperlink"/>
                <w:rFonts w:ascii="Wingdings" w:hAnsi="Wingdings"/>
                <w:noProof/>
              </w:rPr>
              <w:t></w:t>
            </w:r>
            <w:r w:rsidR="00C7049F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o-RO"/>
              </w:rPr>
              <w:tab/>
            </w:r>
            <w:r w:rsidR="00C7049F" w:rsidRPr="00D66506">
              <w:rPr>
                <w:rStyle w:val="Hyperlink"/>
                <w:noProof/>
              </w:rPr>
              <w:t>Etapele Mecanismului DLRC</w:t>
            </w:r>
            <w:r w:rsidR="00C7049F">
              <w:rPr>
                <w:noProof/>
                <w:webHidden/>
              </w:rPr>
              <w:tab/>
            </w:r>
            <w:r w:rsidR="00C7049F">
              <w:rPr>
                <w:noProof/>
                <w:webHidden/>
              </w:rPr>
              <w:fldChar w:fldCharType="begin"/>
            </w:r>
            <w:r w:rsidR="00C7049F">
              <w:rPr>
                <w:noProof/>
                <w:webHidden/>
              </w:rPr>
              <w:instrText xml:space="preserve"> PAGEREF _Toc485991236 \h </w:instrText>
            </w:r>
            <w:r w:rsidR="00C7049F">
              <w:rPr>
                <w:noProof/>
                <w:webHidden/>
              </w:rPr>
            </w:r>
            <w:r w:rsidR="00C7049F">
              <w:rPr>
                <w:noProof/>
                <w:webHidden/>
              </w:rPr>
              <w:fldChar w:fldCharType="separate"/>
            </w:r>
            <w:r w:rsidR="00DA2779">
              <w:rPr>
                <w:noProof/>
                <w:webHidden/>
              </w:rPr>
              <w:t>4</w:t>
            </w:r>
            <w:r w:rsidR="00C7049F">
              <w:rPr>
                <w:noProof/>
                <w:webHidden/>
              </w:rPr>
              <w:fldChar w:fldCharType="end"/>
            </w:r>
          </w:hyperlink>
        </w:p>
        <w:p w:rsidR="00C7049F" w:rsidRDefault="008362F8">
          <w:pPr>
            <w:pStyle w:val="TOC1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o-RO"/>
            </w:rPr>
          </w:pPr>
          <w:hyperlink w:anchor="_Toc485991237" w:history="1">
            <w:r w:rsidR="00C7049F" w:rsidRPr="00C7049F">
              <w:rPr>
                <w:rStyle w:val="Hyperlink"/>
                <w:b/>
                <w:noProof/>
                <w:color w:val="0070C0"/>
              </w:rPr>
              <w:t>2.</w:t>
            </w:r>
            <w:r w:rsidR="00C7049F" w:rsidRPr="00C7049F">
              <w:rPr>
                <w:rFonts w:asciiTheme="minorHAnsi" w:eastAsiaTheme="minorEastAsia" w:hAnsiTheme="minorHAnsi" w:cstheme="minorBidi"/>
                <w:b/>
                <w:noProof/>
                <w:color w:val="0070C0"/>
                <w:sz w:val="22"/>
                <w:szCs w:val="22"/>
                <w:lang w:eastAsia="ro-RO"/>
              </w:rPr>
              <w:tab/>
            </w:r>
            <w:r w:rsidR="00C7049F" w:rsidRPr="00C7049F">
              <w:rPr>
                <w:rStyle w:val="Hyperlink"/>
                <w:b/>
                <w:noProof/>
                <w:color w:val="0070C0"/>
              </w:rPr>
              <w:t>Demersuri obligatorii la nivelul parteneriatului/GAL în vederea depunerii SDL</w:t>
            </w:r>
            <w:r w:rsidR="00C7049F">
              <w:rPr>
                <w:noProof/>
                <w:webHidden/>
              </w:rPr>
              <w:tab/>
            </w:r>
            <w:r w:rsidR="00C7049F">
              <w:rPr>
                <w:noProof/>
                <w:webHidden/>
              </w:rPr>
              <w:fldChar w:fldCharType="begin"/>
            </w:r>
            <w:r w:rsidR="00C7049F">
              <w:rPr>
                <w:noProof/>
                <w:webHidden/>
              </w:rPr>
              <w:instrText xml:space="preserve"> PAGEREF _Toc485991237 \h </w:instrText>
            </w:r>
            <w:r w:rsidR="00C7049F">
              <w:rPr>
                <w:noProof/>
                <w:webHidden/>
              </w:rPr>
            </w:r>
            <w:r w:rsidR="00C7049F">
              <w:rPr>
                <w:noProof/>
                <w:webHidden/>
              </w:rPr>
              <w:fldChar w:fldCharType="separate"/>
            </w:r>
            <w:r w:rsidR="00DA2779">
              <w:rPr>
                <w:noProof/>
                <w:webHidden/>
              </w:rPr>
              <w:t>5</w:t>
            </w:r>
            <w:r w:rsidR="00C7049F">
              <w:rPr>
                <w:noProof/>
                <w:webHidden/>
              </w:rPr>
              <w:fldChar w:fldCharType="end"/>
            </w:r>
          </w:hyperlink>
        </w:p>
        <w:p w:rsidR="00C7049F" w:rsidRDefault="008362F8">
          <w:pPr>
            <w:pStyle w:val="TOC1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o-RO"/>
            </w:rPr>
          </w:pPr>
          <w:hyperlink w:anchor="_Toc485991238" w:history="1">
            <w:r w:rsidR="00C7049F" w:rsidRPr="00C7049F">
              <w:rPr>
                <w:rStyle w:val="Hyperlink"/>
                <w:b/>
                <w:noProof/>
                <w:color w:val="0070C0"/>
              </w:rPr>
              <w:t>3.</w:t>
            </w:r>
            <w:r w:rsidR="00C7049F" w:rsidRPr="00C7049F">
              <w:rPr>
                <w:rFonts w:asciiTheme="minorHAnsi" w:eastAsiaTheme="minorEastAsia" w:hAnsiTheme="minorHAnsi" w:cstheme="minorBidi"/>
                <w:b/>
                <w:noProof/>
                <w:color w:val="0070C0"/>
                <w:sz w:val="22"/>
                <w:szCs w:val="22"/>
                <w:lang w:eastAsia="ro-RO"/>
              </w:rPr>
              <w:tab/>
            </w:r>
            <w:r w:rsidR="00C7049F" w:rsidRPr="00C7049F">
              <w:rPr>
                <w:rStyle w:val="Hyperlink"/>
                <w:b/>
                <w:noProof/>
                <w:color w:val="0070C0"/>
              </w:rPr>
              <w:t>Depunerea și selecția strategiilor DLRC</w:t>
            </w:r>
            <w:r w:rsidR="00C7049F">
              <w:rPr>
                <w:noProof/>
                <w:webHidden/>
              </w:rPr>
              <w:tab/>
            </w:r>
            <w:r w:rsidR="00C7049F">
              <w:rPr>
                <w:noProof/>
                <w:webHidden/>
              </w:rPr>
              <w:fldChar w:fldCharType="begin"/>
            </w:r>
            <w:r w:rsidR="00C7049F">
              <w:rPr>
                <w:noProof/>
                <w:webHidden/>
              </w:rPr>
              <w:instrText xml:space="preserve"> PAGEREF _Toc485991238 \h </w:instrText>
            </w:r>
            <w:r w:rsidR="00C7049F">
              <w:rPr>
                <w:noProof/>
                <w:webHidden/>
              </w:rPr>
            </w:r>
            <w:r w:rsidR="00C7049F">
              <w:rPr>
                <w:noProof/>
                <w:webHidden/>
              </w:rPr>
              <w:fldChar w:fldCharType="separate"/>
            </w:r>
            <w:r w:rsidR="00DA2779">
              <w:rPr>
                <w:noProof/>
                <w:webHidden/>
              </w:rPr>
              <w:t>7</w:t>
            </w:r>
            <w:r w:rsidR="00C7049F">
              <w:rPr>
                <w:noProof/>
                <w:webHidden/>
              </w:rPr>
              <w:fldChar w:fldCharType="end"/>
            </w:r>
          </w:hyperlink>
        </w:p>
        <w:p w:rsidR="00C7049F" w:rsidRDefault="008362F8">
          <w:pPr>
            <w:pStyle w:val="TOC1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o-RO"/>
            </w:rPr>
          </w:pPr>
          <w:hyperlink w:anchor="_Toc485991239" w:history="1">
            <w:r w:rsidR="00C7049F" w:rsidRPr="00D66506">
              <w:rPr>
                <w:rStyle w:val="Hyperlink"/>
                <w:rFonts w:ascii="Wingdings" w:hAnsi="Wingdings"/>
                <w:noProof/>
              </w:rPr>
              <w:t></w:t>
            </w:r>
            <w:r w:rsidR="00C7049F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o-RO"/>
              </w:rPr>
              <w:tab/>
            </w:r>
            <w:r w:rsidR="00C7049F" w:rsidRPr="00D66506">
              <w:rPr>
                <w:rStyle w:val="Hyperlink"/>
                <w:noProof/>
              </w:rPr>
              <w:t>Alocarea financiară pentru sesiunea de selecție a SDL-urilor</w:t>
            </w:r>
            <w:r w:rsidR="00C7049F">
              <w:rPr>
                <w:noProof/>
                <w:webHidden/>
              </w:rPr>
              <w:tab/>
            </w:r>
            <w:r w:rsidR="00C7049F">
              <w:rPr>
                <w:noProof/>
                <w:webHidden/>
              </w:rPr>
              <w:fldChar w:fldCharType="begin"/>
            </w:r>
            <w:r w:rsidR="00C7049F">
              <w:rPr>
                <w:noProof/>
                <w:webHidden/>
              </w:rPr>
              <w:instrText xml:space="preserve"> PAGEREF _Toc485991239 \h </w:instrText>
            </w:r>
            <w:r w:rsidR="00C7049F">
              <w:rPr>
                <w:noProof/>
                <w:webHidden/>
              </w:rPr>
            </w:r>
            <w:r w:rsidR="00C7049F">
              <w:rPr>
                <w:noProof/>
                <w:webHidden/>
              </w:rPr>
              <w:fldChar w:fldCharType="separate"/>
            </w:r>
            <w:r w:rsidR="00DA2779">
              <w:rPr>
                <w:noProof/>
                <w:webHidden/>
              </w:rPr>
              <w:t>7</w:t>
            </w:r>
            <w:r w:rsidR="00C7049F">
              <w:rPr>
                <w:noProof/>
                <w:webHidden/>
              </w:rPr>
              <w:fldChar w:fldCharType="end"/>
            </w:r>
          </w:hyperlink>
        </w:p>
        <w:p w:rsidR="00C7049F" w:rsidRDefault="008362F8">
          <w:pPr>
            <w:pStyle w:val="TOC1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o-RO"/>
            </w:rPr>
          </w:pPr>
          <w:hyperlink w:anchor="_Toc485991240" w:history="1">
            <w:r w:rsidR="00C7049F" w:rsidRPr="00D66506">
              <w:rPr>
                <w:rStyle w:val="Hyperlink"/>
                <w:rFonts w:ascii="Wingdings" w:hAnsi="Wingdings"/>
                <w:noProof/>
              </w:rPr>
              <w:t></w:t>
            </w:r>
            <w:r w:rsidR="00C7049F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o-RO"/>
              </w:rPr>
              <w:tab/>
            </w:r>
            <w:r w:rsidR="00C7049F" w:rsidRPr="00D66506">
              <w:rPr>
                <w:rStyle w:val="Hyperlink"/>
                <w:noProof/>
              </w:rPr>
              <w:t>Sesiunea de depunere a SDL</w:t>
            </w:r>
            <w:r w:rsidR="00C7049F">
              <w:rPr>
                <w:noProof/>
                <w:webHidden/>
              </w:rPr>
              <w:tab/>
            </w:r>
            <w:r w:rsidR="00C7049F">
              <w:rPr>
                <w:noProof/>
                <w:webHidden/>
              </w:rPr>
              <w:fldChar w:fldCharType="begin"/>
            </w:r>
            <w:r w:rsidR="00C7049F">
              <w:rPr>
                <w:noProof/>
                <w:webHidden/>
              </w:rPr>
              <w:instrText xml:space="preserve"> PAGEREF _Toc485991240 \h </w:instrText>
            </w:r>
            <w:r w:rsidR="00C7049F">
              <w:rPr>
                <w:noProof/>
                <w:webHidden/>
              </w:rPr>
            </w:r>
            <w:r w:rsidR="00C7049F">
              <w:rPr>
                <w:noProof/>
                <w:webHidden/>
              </w:rPr>
              <w:fldChar w:fldCharType="separate"/>
            </w:r>
            <w:r w:rsidR="00DA2779">
              <w:rPr>
                <w:noProof/>
                <w:webHidden/>
              </w:rPr>
              <w:t>7</w:t>
            </w:r>
            <w:r w:rsidR="00C7049F">
              <w:rPr>
                <w:noProof/>
                <w:webHidden/>
              </w:rPr>
              <w:fldChar w:fldCharType="end"/>
            </w:r>
          </w:hyperlink>
        </w:p>
        <w:p w:rsidR="00C7049F" w:rsidRDefault="008362F8">
          <w:pPr>
            <w:pStyle w:val="TOC1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o-RO"/>
            </w:rPr>
          </w:pPr>
          <w:hyperlink w:anchor="_Toc485991241" w:history="1">
            <w:r w:rsidR="00C7049F" w:rsidRPr="00D66506">
              <w:rPr>
                <w:rStyle w:val="Hyperlink"/>
                <w:rFonts w:ascii="Wingdings" w:hAnsi="Wingdings"/>
                <w:noProof/>
              </w:rPr>
              <w:t></w:t>
            </w:r>
            <w:r w:rsidR="00C7049F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o-RO"/>
              </w:rPr>
              <w:tab/>
            </w:r>
            <w:r w:rsidR="00C7049F" w:rsidRPr="00D66506">
              <w:rPr>
                <w:rStyle w:val="Hyperlink"/>
                <w:noProof/>
              </w:rPr>
              <w:t>Verificarea conformității și a eligibilității SDL</w:t>
            </w:r>
            <w:r w:rsidR="00C7049F">
              <w:rPr>
                <w:noProof/>
                <w:webHidden/>
              </w:rPr>
              <w:tab/>
            </w:r>
            <w:r w:rsidR="00C7049F">
              <w:rPr>
                <w:noProof/>
                <w:webHidden/>
              </w:rPr>
              <w:fldChar w:fldCharType="begin"/>
            </w:r>
            <w:r w:rsidR="00C7049F">
              <w:rPr>
                <w:noProof/>
                <w:webHidden/>
              </w:rPr>
              <w:instrText xml:space="preserve"> PAGEREF _Toc485991241 \h </w:instrText>
            </w:r>
            <w:r w:rsidR="00C7049F">
              <w:rPr>
                <w:noProof/>
                <w:webHidden/>
              </w:rPr>
            </w:r>
            <w:r w:rsidR="00C7049F">
              <w:rPr>
                <w:noProof/>
                <w:webHidden/>
              </w:rPr>
              <w:fldChar w:fldCharType="separate"/>
            </w:r>
            <w:r w:rsidR="00DA2779">
              <w:rPr>
                <w:noProof/>
                <w:webHidden/>
              </w:rPr>
              <w:t>8</w:t>
            </w:r>
            <w:r w:rsidR="00C7049F">
              <w:rPr>
                <w:noProof/>
                <w:webHidden/>
              </w:rPr>
              <w:fldChar w:fldCharType="end"/>
            </w:r>
          </w:hyperlink>
        </w:p>
        <w:p w:rsidR="00C7049F" w:rsidRDefault="008362F8">
          <w:pPr>
            <w:pStyle w:val="TOC1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o-RO"/>
            </w:rPr>
          </w:pPr>
          <w:hyperlink w:anchor="_Toc485991242" w:history="1">
            <w:r w:rsidR="00C7049F" w:rsidRPr="00D66506">
              <w:rPr>
                <w:rStyle w:val="Hyperlink"/>
                <w:rFonts w:ascii="Wingdings" w:hAnsi="Wingdings"/>
                <w:noProof/>
              </w:rPr>
              <w:t></w:t>
            </w:r>
            <w:r w:rsidR="00C7049F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o-RO"/>
              </w:rPr>
              <w:tab/>
            </w:r>
            <w:r w:rsidR="00C7049F" w:rsidRPr="00D66506">
              <w:rPr>
                <w:rStyle w:val="Hyperlink"/>
                <w:noProof/>
              </w:rPr>
              <w:t>Evaluarea Strategică și Operațională a SDL</w:t>
            </w:r>
            <w:r w:rsidR="00C7049F">
              <w:rPr>
                <w:noProof/>
                <w:webHidden/>
              </w:rPr>
              <w:tab/>
            </w:r>
            <w:r w:rsidR="00C7049F">
              <w:rPr>
                <w:noProof/>
                <w:webHidden/>
              </w:rPr>
              <w:fldChar w:fldCharType="begin"/>
            </w:r>
            <w:r w:rsidR="00C7049F">
              <w:rPr>
                <w:noProof/>
                <w:webHidden/>
              </w:rPr>
              <w:instrText xml:space="preserve"> PAGEREF _Toc485991242 \h </w:instrText>
            </w:r>
            <w:r w:rsidR="00C7049F">
              <w:rPr>
                <w:noProof/>
                <w:webHidden/>
              </w:rPr>
            </w:r>
            <w:r w:rsidR="00C7049F">
              <w:rPr>
                <w:noProof/>
                <w:webHidden/>
              </w:rPr>
              <w:fldChar w:fldCharType="separate"/>
            </w:r>
            <w:r w:rsidR="00DA2779">
              <w:rPr>
                <w:noProof/>
                <w:webHidden/>
              </w:rPr>
              <w:t>9</w:t>
            </w:r>
            <w:r w:rsidR="00C7049F">
              <w:rPr>
                <w:noProof/>
                <w:webHidden/>
              </w:rPr>
              <w:fldChar w:fldCharType="end"/>
            </w:r>
          </w:hyperlink>
        </w:p>
        <w:p w:rsidR="00C7049F" w:rsidRDefault="008362F8">
          <w:pPr>
            <w:pStyle w:val="TOC1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o-RO"/>
            </w:rPr>
          </w:pPr>
          <w:hyperlink w:anchor="_Toc485991243" w:history="1">
            <w:r w:rsidR="00C7049F" w:rsidRPr="00D66506">
              <w:rPr>
                <w:rStyle w:val="Hyperlink"/>
                <w:rFonts w:ascii="Wingdings" w:hAnsi="Wingdings"/>
                <w:noProof/>
              </w:rPr>
              <w:t></w:t>
            </w:r>
            <w:r w:rsidR="00C7049F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o-RO"/>
              </w:rPr>
              <w:tab/>
            </w:r>
            <w:r w:rsidR="00C7049F" w:rsidRPr="00D66506">
              <w:rPr>
                <w:rStyle w:val="Hyperlink"/>
                <w:noProof/>
              </w:rPr>
              <w:t>Selecția SDL pentru finanțare</w:t>
            </w:r>
            <w:r w:rsidR="00C7049F">
              <w:rPr>
                <w:noProof/>
                <w:webHidden/>
              </w:rPr>
              <w:tab/>
            </w:r>
            <w:r w:rsidR="00C7049F">
              <w:rPr>
                <w:noProof/>
                <w:webHidden/>
              </w:rPr>
              <w:fldChar w:fldCharType="begin"/>
            </w:r>
            <w:r w:rsidR="00C7049F">
              <w:rPr>
                <w:noProof/>
                <w:webHidden/>
              </w:rPr>
              <w:instrText xml:space="preserve"> PAGEREF _Toc485991243 \h </w:instrText>
            </w:r>
            <w:r w:rsidR="00C7049F">
              <w:rPr>
                <w:noProof/>
                <w:webHidden/>
              </w:rPr>
            </w:r>
            <w:r w:rsidR="00C7049F">
              <w:rPr>
                <w:noProof/>
                <w:webHidden/>
              </w:rPr>
              <w:fldChar w:fldCharType="separate"/>
            </w:r>
            <w:r w:rsidR="00DA2779">
              <w:rPr>
                <w:noProof/>
                <w:webHidden/>
              </w:rPr>
              <w:t>10</w:t>
            </w:r>
            <w:r w:rsidR="00C7049F">
              <w:rPr>
                <w:noProof/>
                <w:webHidden/>
              </w:rPr>
              <w:fldChar w:fldCharType="end"/>
            </w:r>
          </w:hyperlink>
        </w:p>
        <w:p w:rsidR="00530F29" w:rsidRPr="00F92AD1" w:rsidRDefault="00530F29" w:rsidP="001E4356">
          <w:pPr>
            <w:spacing w:after="0"/>
            <w:rPr>
              <w:szCs w:val="20"/>
            </w:rPr>
          </w:pPr>
          <w:r w:rsidRPr="00F92AD1">
            <w:rPr>
              <w:b/>
              <w:bCs/>
              <w:szCs w:val="20"/>
            </w:rPr>
            <w:fldChar w:fldCharType="end"/>
          </w:r>
        </w:p>
      </w:sdtContent>
    </w:sdt>
    <w:p w:rsidR="00530F29" w:rsidRPr="00F92AD1" w:rsidRDefault="00530F29" w:rsidP="001E4356">
      <w:pPr>
        <w:spacing w:after="0"/>
        <w:rPr>
          <w:b/>
          <w:szCs w:val="20"/>
        </w:rPr>
      </w:pPr>
    </w:p>
    <w:p w:rsidR="00411879" w:rsidRPr="00BD42D8" w:rsidRDefault="00411879" w:rsidP="001E4356">
      <w:pPr>
        <w:spacing w:after="0"/>
        <w:rPr>
          <w:b/>
          <w:sz w:val="24"/>
        </w:rPr>
      </w:pPr>
    </w:p>
    <w:p w:rsidR="00411879" w:rsidRPr="00BD42D8" w:rsidRDefault="00411879" w:rsidP="001E4356">
      <w:pPr>
        <w:spacing w:after="0"/>
        <w:rPr>
          <w:b/>
          <w:sz w:val="24"/>
        </w:rPr>
      </w:pPr>
    </w:p>
    <w:p w:rsidR="00411879" w:rsidRDefault="00411879" w:rsidP="001E4356">
      <w:pPr>
        <w:spacing w:after="0"/>
        <w:rPr>
          <w:b/>
          <w:sz w:val="24"/>
        </w:rPr>
      </w:pPr>
    </w:p>
    <w:p w:rsidR="006E7417" w:rsidRDefault="006E7417" w:rsidP="001E4356">
      <w:pPr>
        <w:rPr>
          <w:b/>
          <w:sz w:val="24"/>
        </w:rPr>
      </w:pPr>
      <w:r>
        <w:rPr>
          <w:b/>
          <w:sz w:val="24"/>
        </w:rPr>
        <w:br w:type="page"/>
      </w:r>
    </w:p>
    <w:p w:rsidR="005C42F7" w:rsidRDefault="002B09D9" w:rsidP="001E4356">
      <w:pPr>
        <w:pStyle w:val="Heading1"/>
        <w:numPr>
          <w:ilvl w:val="0"/>
          <w:numId w:val="72"/>
        </w:numPr>
        <w:spacing w:before="0" w:after="120"/>
        <w:ind w:left="283" w:hanging="357"/>
        <w:rPr>
          <w:rFonts w:ascii="Trebuchet MS" w:eastAsia="Times New Roman" w:hAnsi="Trebuchet MS" w:cs="Times New Roman"/>
          <w:bCs w:val="0"/>
          <w:color w:val="002060"/>
          <w:sz w:val="26"/>
          <w:szCs w:val="26"/>
        </w:rPr>
      </w:pPr>
      <w:bookmarkStart w:id="0" w:name="_Toc485991234"/>
      <w:r w:rsidRPr="001E4356">
        <w:rPr>
          <w:rFonts w:ascii="Trebuchet MS" w:eastAsia="Times New Roman" w:hAnsi="Trebuchet MS" w:cs="Times New Roman"/>
          <w:bCs w:val="0"/>
          <w:color w:val="002060"/>
          <w:sz w:val="26"/>
          <w:szCs w:val="26"/>
        </w:rPr>
        <w:lastRenderedPageBreak/>
        <w:t>Introducere</w:t>
      </w:r>
      <w:bookmarkEnd w:id="0"/>
    </w:p>
    <w:p w:rsidR="00455F11" w:rsidRPr="00455F11" w:rsidRDefault="00455F11" w:rsidP="00455F11">
      <w:pPr>
        <w:spacing w:after="0"/>
      </w:pPr>
    </w:p>
    <w:p w:rsidR="00616C45" w:rsidRPr="002A71BA" w:rsidRDefault="00EA6643" w:rsidP="001E4356">
      <w:pPr>
        <w:pStyle w:val="Heading1"/>
        <w:numPr>
          <w:ilvl w:val="0"/>
          <w:numId w:val="69"/>
        </w:numPr>
        <w:tabs>
          <w:tab w:val="left" w:pos="426"/>
          <w:tab w:val="left" w:pos="567"/>
        </w:tabs>
        <w:spacing w:before="120" w:after="120"/>
        <w:ind w:left="284" w:firstLine="0"/>
        <w:jc w:val="both"/>
        <w:rPr>
          <w:rFonts w:ascii="Trebuchet MS" w:eastAsia="Times New Roman" w:hAnsi="Trebuchet MS" w:cs="Times New Roman"/>
          <w:bCs w:val="0"/>
          <w:color w:val="3333FF"/>
          <w:sz w:val="24"/>
          <w:szCs w:val="24"/>
        </w:rPr>
      </w:pPr>
      <w:r>
        <w:rPr>
          <w:rFonts w:ascii="Trebuchet MS" w:eastAsia="Times New Roman" w:hAnsi="Trebuchet MS" w:cs="Times New Roman"/>
          <w:bCs w:val="0"/>
          <w:color w:val="auto"/>
          <w:sz w:val="24"/>
          <w:szCs w:val="24"/>
        </w:rPr>
        <w:t xml:space="preserve"> </w:t>
      </w:r>
      <w:bookmarkStart w:id="1" w:name="_Toc485991235"/>
      <w:r w:rsidR="00616C45" w:rsidRPr="002A71BA">
        <w:rPr>
          <w:rFonts w:ascii="Trebuchet MS" w:eastAsia="Times New Roman" w:hAnsi="Trebuchet MS" w:cs="Times New Roman"/>
          <w:bCs w:val="0"/>
          <w:color w:val="0070C0"/>
          <w:sz w:val="24"/>
          <w:szCs w:val="24"/>
        </w:rPr>
        <w:t>Instrumentul DLRC pentru orașele României</w:t>
      </w:r>
      <w:bookmarkEnd w:id="1"/>
    </w:p>
    <w:p w:rsidR="009A1DB0" w:rsidRPr="00BD42D8" w:rsidRDefault="00A0261E" w:rsidP="00636AB3">
      <w:pPr>
        <w:spacing w:after="120"/>
        <w:jc w:val="both"/>
        <w:rPr>
          <w:sz w:val="24"/>
        </w:rPr>
      </w:pPr>
      <w:r w:rsidRPr="00BD42D8">
        <w:rPr>
          <w:b/>
          <w:i/>
          <w:sz w:val="24"/>
        </w:rPr>
        <w:t>Dezvoltarea</w:t>
      </w:r>
      <w:r w:rsidR="00B16C27" w:rsidRPr="00BD42D8">
        <w:rPr>
          <w:b/>
          <w:i/>
          <w:sz w:val="24"/>
        </w:rPr>
        <w:t xml:space="preserve"> locală plasată</w:t>
      </w:r>
      <w:r w:rsidRPr="00BD42D8">
        <w:rPr>
          <w:b/>
          <w:i/>
          <w:sz w:val="24"/>
        </w:rPr>
        <w:t xml:space="preserve"> sub responsabilitatea comunităţii</w:t>
      </w:r>
      <w:r w:rsidRPr="00BD42D8">
        <w:rPr>
          <w:sz w:val="24"/>
        </w:rPr>
        <w:t xml:space="preserve"> (</w:t>
      </w:r>
      <w:r w:rsidR="00E213D9" w:rsidRPr="00BD42D8">
        <w:rPr>
          <w:sz w:val="24"/>
        </w:rPr>
        <w:t>DLRC</w:t>
      </w:r>
      <w:r w:rsidRPr="00BD42D8">
        <w:rPr>
          <w:sz w:val="24"/>
        </w:rPr>
        <w:t>)</w:t>
      </w:r>
      <w:r w:rsidR="009A1DB0" w:rsidRPr="00BD42D8">
        <w:rPr>
          <w:sz w:val="24"/>
        </w:rPr>
        <w:t xml:space="preserve"> este un instrument pentru promovarea dezvoltării integrate şi implicării comunităţilor în dezvoltarea locală</w:t>
      </w:r>
      <w:r w:rsidR="009A1DB0" w:rsidRPr="00BD42D8" w:rsidDel="00016C85">
        <w:rPr>
          <w:sz w:val="24"/>
        </w:rPr>
        <w:t xml:space="preserve"> </w:t>
      </w:r>
      <w:r w:rsidR="009A1DB0" w:rsidRPr="00BD42D8">
        <w:rPr>
          <w:sz w:val="24"/>
        </w:rPr>
        <w:t xml:space="preserve">prin formarea unui parteneriat local. </w:t>
      </w:r>
      <w:r w:rsidR="007C472A" w:rsidRPr="007C472A">
        <w:rPr>
          <w:sz w:val="24"/>
        </w:rPr>
        <w:t>Parteneriat</w:t>
      </w:r>
      <w:r w:rsidR="007C472A">
        <w:rPr>
          <w:sz w:val="24"/>
        </w:rPr>
        <w:t>ul</w:t>
      </w:r>
      <w:r w:rsidR="007C472A" w:rsidRPr="007C472A">
        <w:rPr>
          <w:sz w:val="24"/>
        </w:rPr>
        <w:t xml:space="preserve"> local</w:t>
      </w:r>
      <w:r w:rsidR="007C472A" w:rsidRPr="007C472A" w:rsidDel="007C472A">
        <w:rPr>
          <w:sz w:val="24"/>
        </w:rPr>
        <w:t xml:space="preserve"> </w:t>
      </w:r>
      <w:r w:rsidR="009A1DB0" w:rsidRPr="00BD42D8">
        <w:rPr>
          <w:sz w:val="24"/>
        </w:rPr>
        <w:t xml:space="preserve">are rolul de a elabora și </w:t>
      </w:r>
      <w:r w:rsidR="00DE6D83">
        <w:rPr>
          <w:sz w:val="24"/>
        </w:rPr>
        <w:t xml:space="preserve">de a implementa </w:t>
      </w:r>
      <w:r w:rsidR="009A1DB0" w:rsidRPr="00BD42D8">
        <w:rPr>
          <w:sz w:val="24"/>
        </w:rPr>
        <w:t>o strategie de dezvoltare</w:t>
      </w:r>
      <w:r w:rsidR="006F6120" w:rsidRPr="00BD42D8">
        <w:rPr>
          <w:sz w:val="24"/>
        </w:rPr>
        <w:t xml:space="preserve"> locală</w:t>
      </w:r>
      <w:r w:rsidR="009A1DB0" w:rsidRPr="00BD42D8">
        <w:rPr>
          <w:sz w:val="24"/>
        </w:rPr>
        <w:t xml:space="preserve"> integrată, beneficiind de finanțare</w:t>
      </w:r>
      <w:r w:rsidR="007C472A">
        <w:rPr>
          <w:sz w:val="24"/>
        </w:rPr>
        <w:t xml:space="preserve"> </w:t>
      </w:r>
      <w:r w:rsidR="009A1DB0" w:rsidRPr="00BD42D8">
        <w:rPr>
          <w:sz w:val="24"/>
        </w:rPr>
        <w:t>pe termen lung</w:t>
      </w:r>
      <w:r w:rsidR="00EB753A">
        <w:rPr>
          <w:sz w:val="24"/>
        </w:rPr>
        <w:t xml:space="preserve">, </w:t>
      </w:r>
      <w:r w:rsidR="00DE5FD9" w:rsidRPr="00BD42D8">
        <w:rPr>
          <w:sz w:val="24"/>
        </w:rPr>
        <w:t>și</w:t>
      </w:r>
      <w:r w:rsidR="009A1DB0" w:rsidRPr="00BD42D8">
        <w:rPr>
          <w:sz w:val="24"/>
        </w:rPr>
        <w:t xml:space="preserve"> deținând puterea de decizie cu privire la modul în care sunt cheltuite fondurile.</w:t>
      </w:r>
    </w:p>
    <w:p w:rsidR="00B16C27" w:rsidRPr="00BD42D8" w:rsidRDefault="001462E7" w:rsidP="00636AB3">
      <w:pPr>
        <w:spacing w:after="120"/>
        <w:jc w:val="both"/>
        <w:rPr>
          <w:sz w:val="24"/>
        </w:rPr>
      </w:pPr>
      <w:r w:rsidRPr="00BD42D8">
        <w:rPr>
          <w:sz w:val="24"/>
        </w:rPr>
        <w:t xml:space="preserve">DLRC </w:t>
      </w:r>
      <w:r w:rsidR="009A1DB0" w:rsidRPr="00BD42D8">
        <w:rPr>
          <w:sz w:val="24"/>
        </w:rPr>
        <w:t>se axează pe anumite zone subregionale, fiind plasată sub responsabilitatea grupurilor de acțiune locală</w:t>
      </w:r>
      <w:r w:rsidR="007C472A">
        <w:rPr>
          <w:sz w:val="24"/>
        </w:rPr>
        <w:t xml:space="preserve"> (GAL)</w:t>
      </w:r>
      <w:r w:rsidR="0054637A">
        <w:rPr>
          <w:sz w:val="24"/>
        </w:rPr>
        <w:t xml:space="preserve"> și</w:t>
      </w:r>
      <w:r w:rsidR="009A1DB0" w:rsidRPr="00BD42D8">
        <w:rPr>
          <w:sz w:val="24"/>
        </w:rPr>
        <w:t xml:space="preserve"> realizată prin strategii de dezvoltare locală</w:t>
      </w:r>
      <w:r w:rsidR="009D3F1D" w:rsidRPr="00BD42D8">
        <w:rPr>
          <w:sz w:val="24"/>
        </w:rPr>
        <w:t xml:space="preserve"> (SDL) </w:t>
      </w:r>
      <w:r w:rsidR="00067B30" w:rsidRPr="00BD42D8">
        <w:rPr>
          <w:sz w:val="24"/>
        </w:rPr>
        <w:t xml:space="preserve">cu </w:t>
      </w:r>
      <w:r w:rsidR="00067B30" w:rsidRPr="00BD42D8">
        <w:rPr>
          <w:rFonts w:eastAsia="Calibri"/>
          <w:sz w:val="24"/>
          <w:lang w:eastAsia="ro-RO"/>
        </w:rPr>
        <w:t xml:space="preserve">caracter integrat </w:t>
      </w:r>
      <w:r w:rsidR="00DE5FD9" w:rsidRPr="00BD42D8">
        <w:rPr>
          <w:rFonts w:eastAsia="Calibri"/>
          <w:sz w:val="24"/>
          <w:lang w:eastAsia="ro-RO"/>
        </w:rPr>
        <w:t>ș</w:t>
      </w:r>
      <w:r w:rsidR="00067B30" w:rsidRPr="00BD42D8">
        <w:rPr>
          <w:rFonts w:eastAsia="Calibri"/>
          <w:sz w:val="24"/>
          <w:lang w:eastAsia="ro-RO"/>
        </w:rPr>
        <w:t>i multisectorial</w:t>
      </w:r>
      <w:r w:rsidR="009D3F1D" w:rsidRPr="00BD42D8">
        <w:rPr>
          <w:rFonts w:eastAsia="Calibri"/>
          <w:sz w:val="24"/>
          <w:lang w:eastAsia="ro-RO"/>
        </w:rPr>
        <w:t>.</w:t>
      </w:r>
    </w:p>
    <w:p w:rsidR="007B11C8" w:rsidRDefault="00D408D7" w:rsidP="00636AB3">
      <w:pPr>
        <w:spacing w:after="120"/>
        <w:jc w:val="both"/>
        <w:rPr>
          <w:sz w:val="24"/>
        </w:rPr>
      </w:pPr>
      <w:r w:rsidRPr="00BD42D8">
        <w:rPr>
          <w:sz w:val="24"/>
        </w:rPr>
        <w:t xml:space="preserve">Abordarea </w:t>
      </w:r>
      <w:r w:rsidR="001462E7" w:rsidRPr="00BD42D8">
        <w:rPr>
          <w:sz w:val="24"/>
        </w:rPr>
        <w:t>DLRC</w:t>
      </w:r>
      <w:r w:rsidR="009A1DB0" w:rsidRPr="00BD42D8">
        <w:rPr>
          <w:sz w:val="24"/>
        </w:rPr>
        <w:t xml:space="preserve"> țin</w:t>
      </w:r>
      <w:r w:rsidR="00B72DD4">
        <w:rPr>
          <w:sz w:val="24"/>
        </w:rPr>
        <w:t>e</w:t>
      </w:r>
      <w:r w:rsidR="009A1DB0" w:rsidRPr="00BD42D8">
        <w:rPr>
          <w:sz w:val="24"/>
        </w:rPr>
        <w:t xml:space="preserve"> cont de necesitățile și potențialul local</w:t>
      </w:r>
      <w:r w:rsidR="0064420C">
        <w:rPr>
          <w:sz w:val="24"/>
        </w:rPr>
        <w:t xml:space="preserve">, pune accent pe cooperare și colaborarea în rețea și </w:t>
      </w:r>
      <w:r w:rsidR="009A1DB0" w:rsidRPr="00BD42D8">
        <w:rPr>
          <w:sz w:val="24"/>
        </w:rPr>
        <w:t xml:space="preserve">include </w:t>
      </w:r>
      <w:r w:rsidR="0064420C">
        <w:rPr>
          <w:sz w:val="24"/>
        </w:rPr>
        <w:t>elemente</w:t>
      </w:r>
      <w:r w:rsidR="0064420C" w:rsidRPr="00BD42D8">
        <w:rPr>
          <w:sz w:val="24"/>
        </w:rPr>
        <w:t xml:space="preserve"> </w:t>
      </w:r>
      <w:r w:rsidR="009A1DB0" w:rsidRPr="00BD42D8">
        <w:rPr>
          <w:sz w:val="24"/>
        </w:rPr>
        <w:t>inovatoare</w:t>
      </w:r>
      <w:r w:rsidR="00FC6570" w:rsidRPr="00BD42D8">
        <w:rPr>
          <w:sz w:val="24"/>
        </w:rPr>
        <w:t xml:space="preserve"> </w:t>
      </w:r>
      <w:r w:rsidR="009A1DB0" w:rsidRPr="00BD42D8">
        <w:rPr>
          <w:sz w:val="24"/>
        </w:rPr>
        <w:t>în context local</w:t>
      </w:r>
      <w:r w:rsidR="0064420C">
        <w:rPr>
          <w:sz w:val="24"/>
        </w:rPr>
        <w:t xml:space="preserve">, prin </w:t>
      </w:r>
      <w:proofErr w:type="spellStart"/>
      <w:r w:rsidR="0064420C">
        <w:rPr>
          <w:sz w:val="24"/>
        </w:rPr>
        <w:t>schimbarile</w:t>
      </w:r>
      <w:proofErr w:type="spellEnd"/>
      <w:r w:rsidR="0064420C">
        <w:rPr>
          <w:sz w:val="24"/>
        </w:rPr>
        <w:t xml:space="preserve"> pe care le </w:t>
      </w:r>
      <w:r w:rsidR="00603530">
        <w:rPr>
          <w:sz w:val="24"/>
        </w:rPr>
        <w:t>generează</w:t>
      </w:r>
      <w:r w:rsidR="0064420C">
        <w:rPr>
          <w:sz w:val="24"/>
        </w:rPr>
        <w:t xml:space="preserve"> la nivelul comunității</w:t>
      </w:r>
      <w:r w:rsidR="00603530">
        <w:rPr>
          <w:sz w:val="24"/>
        </w:rPr>
        <w:t xml:space="preserve">. </w:t>
      </w:r>
    </w:p>
    <w:p w:rsidR="009A1DB0" w:rsidRDefault="007B11C8" w:rsidP="00636AB3">
      <w:pPr>
        <w:spacing w:after="120"/>
        <w:jc w:val="both"/>
        <w:rPr>
          <w:sz w:val="24"/>
        </w:rPr>
      </w:pPr>
      <w:r>
        <w:rPr>
          <w:sz w:val="24"/>
        </w:rPr>
        <w:t>Î</w:t>
      </w:r>
      <w:r w:rsidR="00B72DD4">
        <w:rPr>
          <w:sz w:val="24"/>
        </w:rPr>
        <w:t>n România</w:t>
      </w:r>
      <w:r>
        <w:rPr>
          <w:sz w:val="24"/>
        </w:rPr>
        <w:t>,</w:t>
      </w:r>
      <w:r w:rsidR="00B72DD4">
        <w:rPr>
          <w:sz w:val="24"/>
        </w:rPr>
        <w:t xml:space="preserve"> </w:t>
      </w:r>
      <w:r>
        <w:rPr>
          <w:sz w:val="24"/>
        </w:rPr>
        <w:t xml:space="preserve">aplicarea instrumentului DLRC în mediul urban, la nivelul orașelor/municipiilor cu peste 20.000 locuitori, </w:t>
      </w:r>
      <w:r w:rsidR="00B72DD4">
        <w:rPr>
          <w:sz w:val="24"/>
        </w:rPr>
        <w:t>este orientată către</w:t>
      </w:r>
      <w:r w:rsidR="009A1DB0" w:rsidRPr="00BD42D8">
        <w:rPr>
          <w:sz w:val="24"/>
        </w:rPr>
        <w:t xml:space="preserve"> </w:t>
      </w:r>
      <w:r>
        <w:rPr>
          <w:sz w:val="24"/>
        </w:rPr>
        <w:t>acele orașe</w:t>
      </w:r>
      <w:r w:rsidR="00262CB4" w:rsidRPr="00BD42D8">
        <w:rPr>
          <w:sz w:val="24"/>
        </w:rPr>
        <w:t xml:space="preserve"> </w:t>
      </w:r>
      <w:r w:rsidR="009A1DB0" w:rsidRPr="00BD42D8">
        <w:rPr>
          <w:sz w:val="24"/>
        </w:rPr>
        <w:t xml:space="preserve">în care </w:t>
      </w:r>
      <w:r w:rsidR="00B65EE3">
        <w:rPr>
          <w:sz w:val="24"/>
        </w:rPr>
        <w:t>sunt</w:t>
      </w:r>
      <w:r w:rsidR="009A1DB0" w:rsidRPr="00BD42D8">
        <w:rPr>
          <w:sz w:val="24"/>
        </w:rPr>
        <w:t xml:space="preserve"> identificate zone </w:t>
      </w:r>
      <w:r w:rsidR="00D161FF" w:rsidRPr="00BD42D8">
        <w:rPr>
          <w:sz w:val="24"/>
        </w:rPr>
        <w:t>marginalizate</w:t>
      </w:r>
      <w:r w:rsidR="009A1DB0" w:rsidRPr="00BD42D8">
        <w:rPr>
          <w:sz w:val="24"/>
        </w:rPr>
        <w:t xml:space="preserve">, </w:t>
      </w:r>
      <w:r w:rsidR="00DE6D83">
        <w:rPr>
          <w:sz w:val="24"/>
        </w:rPr>
        <w:t xml:space="preserve">adică zone </w:t>
      </w:r>
      <w:r w:rsidR="009A1DB0" w:rsidRPr="00BD42D8">
        <w:rPr>
          <w:sz w:val="24"/>
        </w:rPr>
        <w:t xml:space="preserve">cu populație aflată în risc de excluziune socială, </w:t>
      </w:r>
      <w:r w:rsidR="00B72DD4">
        <w:rPr>
          <w:sz w:val="24"/>
        </w:rPr>
        <w:t xml:space="preserve">astfel încât prin </w:t>
      </w:r>
      <w:r w:rsidR="00B65EE3">
        <w:rPr>
          <w:sz w:val="24"/>
        </w:rPr>
        <w:t>Strategiile de D</w:t>
      </w:r>
      <w:r w:rsidR="00B72DD4">
        <w:rPr>
          <w:sz w:val="24"/>
        </w:rPr>
        <w:t>e</w:t>
      </w:r>
      <w:r w:rsidR="00B65EE3">
        <w:rPr>
          <w:sz w:val="24"/>
        </w:rPr>
        <w:t>zvoltare L</w:t>
      </w:r>
      <w:r w:rsidR="00B72DD4">
        <w:rPr>
          <w:sz w:val="24"/>
        </w:rPr>
        <w:t xml:space="preserve">ocală dedicate acestor zone </w:t>
      </w:r>
      <w:r w:rsidR="009A1DB0" w:rsidRPr="00BD42D8">
        <w:rPr>
          <w:sz w:val="24"/>
        </w:rPr>
        <w:t>să se implementeze măsuri care să diminueze acțiunea factorilor ce generează</w:t>
      </w:r>
      <w:r w:rsidR="004D30CC" w:rsidRPr="00BD42D8">
        <w:rPr>
          <w:sz w:val="24"/>
        </w:rPr>
        <w:t xml:space="preserve"> sărăcie și excluziune socială.</w:t>
      </w:r>
    </w:p>
    <w:p w:rsidR="00C43EE2" w:rsidRPr="00BD42D8" w:rsidRDefault="00B72DD4" w:rsidP="001E4356">
      <w:pPr>
        <w:spacing w:before="60" w:after="0"/>
        <w:jc w:val="both"/>
        <w:rPr>
          <w:sz w:val="24"/>
        </w:rPr>
      </w:pPr>
      <w:r>
        <w:rPr>
          <w:sz w:val="24"/>
        </w:rPr>
        <w:t>C</w:t>
      </w:r>
      <w:r w:rsidR="00C43EE2" w:rsidRPr="00BD42D8">
        <w:rPr>
          <w:sz w:val="24"/>
        </w:rPr>
        <w:t xml:space="preserve">onform </w:t>
      </w:r>
      <w:r w:rsidR="00140D8A">
        <w:rPr>
          <w:sz w:val="24"/>
        </w:rPr>
        <w:t xml:space="preserve">studiului </w:t>
      </w:r>
      <w:r w:rsidR="00140D8A" w:rsidRPr="00140D8A">
        <w:rPr>
          <w:sz w:val="24"/>
        </w:rPr>
        <w:t>„Elaborarea strategiilor de integrare a comunităților urbane marginalizate – Atlasul zonelor urbane marginalizate din Român</w:t>
      </w:r>
      <w:r w:rsidR="007B11C8">
        <w:rPr>
          <w:sz w:val="24"/>
        </w:rPr>
        <w:t>ia”,</w:t>
      </w:r>
      <w:r w:rsidR="00B92D69" w:rsidRPr="00BD42D8">
        <w:rPr>
          <w:sz w:val="24"/>
        </w:rPr>
        <w:t xml:space="preserve"> </w:t>
      </w:r>
      <w:r w:rsidR="00C4140D" w:rsidRPr="00BD42D8">
        <w:rPr>
          <w:sz w:val="24"/>
        </w:rPr>
        <w:t>elaborat de Banc</w:t>
      </w:r>
      <w:r w:rsidR="00EB753A">
        <w:rPr>
          <w:sz w:val="24"/>
        </w:rPr>
        <w:t>a</w:t>
      </w:r>
      <w:r w:rsidR="00C4140D" w:rsidRPr="00BD42D8">
        <w:rPr>
          <w:sz w:val="24"/>
        </w:rPr>
        <w:t xml:space="preserve"> Mondial</w:t>
      </w:r>
      <w:r w:rsidR="00EB753A">
        <w:rPr>
          <w:sz w:val="24"/>
        </w:rPr>
        <w:t>ă</w:t>
      </w:r>
      <w:r w:rsidR="00C4140D" w:rsidRPr="00BD42D8">
        <w:rPr>
          <w:sz w:val="24"/>
        </w:rPr>
        <w:t xml:space="preserve">, </w:t>
      </w:r>
      <w:r>
        <w:rPr>
          <w:b/>
          <w:sz w:val="24"/>
        </w:rPr>
        <w:t>z</w:t>
      </w:r>
      <w:r w:rsidRPr="00BD42D8">
        <w:rPr>
          <w:b/>
          <w:sz w:val="24"/>
        </w:rPr>
        <w:t>onele urbane marginalizate</w:t>
      </w:r>
      <w:r w:rsidRPr="00BD42D8">
        <w:rPr>
          <w:sz w:val="24"/>
        </w:rPr>
        <w:t xml:space="preserve"> (ZUM) </w:t>
      </w:r>
      <w:r w:rsidR="00616C45">
        <w:rPr>
          <w:sz w:val="24"/>
        </w:rPr>
        <w:t>pot fi</w:t>
      </w:r>
      <w:r w:rsidR="00B92D69" w:rsidRPr="00BD42D8">
        <w:rPr>
          <w:sz w:val="24"/>
        </w:rPr>
        <w:t>:</w:t>
      </w:r>
    </w:p>
    <w:p w:rsidR="00C4140D" w:rsidRPr="00BD42D8" w:rsidRDefault="00C4140D" w:rsidP="001E4356">
      <w:pPr>
        <w:spacing w:after="0"/>
        <w:ind w:left="567"/>
        <w:jc w:val="both"/>
        <w:rPr>
          <w:rFonts w:eastAsia="Calibri" w:cs="font202"/>
          <w:sz w:val="24"/>
        </w:rPr>
      </w:pPr>
      <w:r w:rsidRPr="00BD42D8">
        <w:rPr>
          <w:rFonts w:eastAsia="Calibri" w:cs="font202"/>
          <w:sz w:val="24"/>
        </w:rPr>
        <w:t>1.zone de tip ghetou cu blocuri</w:t>
      </w:r>
      <w:r w:rsidR="004D30CC" w:rsidRPr="00BD42D8">
        <w:rPr>
          <w:rFonts w:eastAsia="Calibri" w:cs="font202"/>
          <w:sz w:val="24"/>
        </w:rPr>
        <w:t>;</w:t>
      </w:r>
    </w:p>
    <w:p w:rsidR="00C4140D" w:rsidRPr="00BD42D8" w:rsidRDefault="00C4140D" w:rsidP="001E4356">
      <w:pPr>
        <w:spacing w:after="0"/>
        <w:ind w:left="567"/>
        <w:jc w:val="both"/>
        <w:rPr>
          <w:rFonts w:eastAsia="Calibri" w:cs="font202"/>
          <w:sz w:val="24"/>
        </w:rPr>
      </w:pPr>
      <w:r w:rsidRPr="00BD42D8">
        <w:rPr>
          <w:rFonts w:eastAsia="Calibri" w:cs="font202"/>
          <w:sz w:val="24"/>
        </w:rPr>
        <w:t>2.zone de tip ghetou în foste colonii de muncitori</w:t>
      </w:r>
      <w:r w:rsidR="004D30CC" w:rsidRPr="00BD42D8">
        <w:rPr>
          <w:rFonts w:eastAsia="Calibri" w:cs="font202"/>
          <w:sz w:val="24"/>
        </w:rPr>
        <w:t>;</w:t>
      </w:r>
    </w:p>
    <w:p w:rsidR="00C4140D" w:rsidRPr="00BD42D8" w:rsidRDefault="00C4140D" w:rsidP="001E4356">
      <w:pPr>
        <w:spacing w:after="0"/>
        <w:ind w:left="567"/>
        <w:jc w:val="both"/>
        <w:rPr>
          <w:rFonts w:eastAsia="Calibri" w:cs="font202"/>
          <w:sz w:val="24"/>
        </w:rPr>
      </w:pPr>
      <w:r w:rsidRPr="00BD42D8">
        <w:rPr>
          <w:rFonts w:eastAsia="Calibri" w:cs="font202"/>
          <w:sz w:val="24"/>
        </w:rPr>
        <w:t>3.zone de tip mahala cu case</w:t>
      </w:r>
      <w:r w:rsidR="004D30CC" w:rsidRPr="00BD42D8">
        <w:rPr>
          <w:rFonts w:eastAsia="Calibri" w:cs="font202"/>
          <w:sz w:val="24"/>
        </w:rPr>
        <w:t>;</w:t>
      </w:r>
    </w:p>
    <w:p w:rsidR="00C4140D" w:rsidRPr="00BD42D8" w:rsidRDefault="00C4140D" w:rsidP="001E4356">
      <w:pPr>
        <w:spacing w:after="0"/>
        <w:ind w:left="567"/>
        <w:jc w:val="both"/>
        <w:rPr>
          <w:rFonts w:eastAsia="Calibri" w:cs="font202"/>
          <w:sz w:val="24"/>
        </w:rPr>
      </w:pPr>
      <w:r w:rsidRPr="00BD42D8">
        <w:rPr>
          <w:rFonts w:eastAsia="Calibri" w:cs="font202"/>
          <w:sz w:val="24"/>
        </w:rPr>
        <w:t>4.zone de tip mahala cu locuințe improvizate</w:t>
      </w:r>
      <w:r w:rsidR="004D30CC" w:rsidRPr="00BD42D8">
        <w:rPr>
          <w:rFonts w:eastAsia="Calibri" w:cs="font202"/>
          <w:sz w:val="24"/>
        </w:rPr>
        <w:t>;</w:t>
      </w:r>
    </w:p>
    <w:p w:rsidR="00C4140D" w:rsidRPr="00BD42D8" w:rsidRDefault="00C4140D" w:rsidP="001E4356">
      <w:pPr>
        <w:spacing w:after="0"/>
        <w:ind w:left="567"/>
        <w:jc w:val="both"/>
        <w:rPr>
          <w:rFonts w:eastAsia="Calibri" w:cs="font202"/>
          <w:sz w:val="24"/>
        </w:rPr>
      </w:pPr>
      <w:r w:rsidRPr="00BD42D8">
        <w:rPr>
          <w:rFonts w:eastAsia="Calibri" w:cs="font202"/>
          <w:sz w:val="24"/>
        </w:rPr>
        <w:t>5.zone de locuințe sociale modernizate</w:t>
      </w:r>
      <w:r w:rsidR="004D30CC" w:rsidRPr="00BD42D8">
        <w:rPr>
          <w:rFonts w:eastAsia="Calibri" w:cs="font202"/>
          <w:sz w:val="24"/>
        </w:rPr>
        <w:t>;</w:t>
      </w:r>
    </w:p>
    <w:p w:rsidR="00C4140D" w:rsidRDefault="00C4140D" w:rsidP="00636AB3">
      <w:pPr>
        <w:spacing w:after="120"/>
        <w:ind w:left="567"/>
        <w:jc w:val="both"/>
        <w:rPr>
          <w:rFonts w:eastAsia="Calibri" w:cs="font202"/>
          <w:sz w:val="24"/>
        </w:rPr>
      </w:pPr>
      <w:r w:rsidRPr="00BD42D8">
        <w:rPr>
          <w:rFonts w:eastAsia="Calibri" w:cs="font202"/>
          <w:sz w:val="24"/>
        </w:rPr>
        <w:t>6.zone de locuințe sociale sau clădiri ocupate abuziv în zone istorice.</w:t>
      </w:r>
    </w:p>
    <w:p w:rsidR="004D30CC" w:rsidRPr="00BD42D8" w:rsidRDefault="00140D8A" w:rsidP="00636AB3">
      <w:pPr>
        <w:spacing w:after="120"/>
        <w:jc w:val="both"/>
        <w:rPr>
          <w:sz w:val="24"/>
        </w:rPr>
      </w:pPr>
      <w:r>
        <w:rPr>
          <w:rFonts w:eastAsia="Calibri" w:cs="font202"/>
          <w:sz w:val="24"/>
        </w:rPr>
        <w:t>T</w:t>
      </w:r>
      <w:r w:rsidR="00B03A93">
        <w:rPr>
          <w:rFonts w:eastAsia="Calibri" w:cs="font202"/>
          <w:sz w:val="24"/>
        </w:rPr>
        <w:t>ipurile de zone urbane marginalizate enumerate mai sus se întâlnesc în toate regiunile de dezvoltare a României, inclusiv în regiunea mai dezvoltată, respectiv București-Ilfov.</w:t>
      </w:r>
      <w:r w:rsidR="00B03A93">
        <w:rPr>
          <w:sz w:val="24"/>
        </w:rPr>
        <w:t xml:space="preserve"> </w:t>
      </w:r>
      <w:r w:rsidR="009A1DB0" w:rsidRPr="00BD42D8">
        <w:rPr>
          <w:sz w:val="24"/>
        </w:rPr>
        <w:t xml:space="preserve">Astfel, investițiile realizate prin intermediul </w:t>
      </w:r>
      <w:r w:rsidR="001462E7" w:rsidRPr="00BD42D8">
        <w:rPr>
          <w:sz w:val="24"/>
        </w:rPr>
        <w:t>DLRC</w:t>
      </w:r>
      <w:r w:rsidR="004D30CC" w:rsidRPr="00BD42D8">
        <w:rPr>
          <w:sz w:val="24"/>
        </w:rPr>
        <w:t xml:space="preserve"> </w:t>
      </w:r>
      <w:r w:rsidR="009A1DB0" w:rsidRPr="00BD42D8">
        <w:rPr>
          <w:sz w:val="24"/>
        </w:rPr>
        <w:t>răspund nevoil</w:t>
      </w:r>
      <w:r w:rsidR="00DE5FD9" w:rsidRPr="00BD42D8">
        <w:rPr>
          <w:sz w:val="24"/>
        </w:rPr>
        <w:t>or</w:t>
      </w:r>
      <w:r w:rsidR="009A1DB0" w:rsidRPr="00BD42D8">
        <w:rPr>
          <w:sz w:val="24"/>
        </w:rPr>
        <w:t xml:space="preserve"> comunităților urbane marginalizate de la nivel</w:t>
      </w:r>
      <w:r w:rsidR="004D30CC" w:rsidRPr="00BD42D8">
        <w:rPr>
          <w:sz w:val="24"/>
        </w:rPr>
        <w:t>ul tuturor regiunilor României.</w:t>
      </w:r>
    </w:p>
    <w:p w:rsidR="00B03A93" w:rsidRDefault="00B03A93" w:rsidP="00636AB3">
      <w:pPr>
        <w:spacing w:after="60"/>
        <w:jc w:val="both"/>
        <w:rPr>
          <w:sz w:val="24"/>
        </w:rPr>
      </w:pPr>
      <w:r>
        <w:rPr>
          <w:sz w:val="24"/>
        </w:rPr>
        <w:t>P</w:t>
      </w:r>
      <w:r w:rsidRPr="00BD42D8">
        <w:rPr>
          <w:sz w:val="24"/>
        </w:rPr>
        <w:t>rincipal</w:t>
      </w:r>
      <w:r>
        <w:rPr>
          <w:sz w:val="24"/>
        </w:rPr>
        <w:t>ele</w:t>
      </w:r>
      <w:r w:rsidRPr="00BD42D8">
        <w:rPr>
          <w:sz w:val="24"/>
        </w:rPr>
        <w:t xml:space="preserve"> </w:t>
      </w:r>
      <w:r>
        <w:rPr>
          <w:sz w:val="24"/>
        </w:rPr>
        <w:t>n</w:t>
      </w:r>
      <w:r w:rsidR="009A1DB0" w:rsidRPr="00BD42D8">
        <w:rPr>
          <w:sz w:val="24"/>
        </w:rPr>
        <w:t xml:space="preserve">evoi adresate prin intermediul </w:t>
      </w:r>
      <w:r w:rsidR="001462E7" w:rsidRPr="00BD42D8">
        <w:rPr>
          <w:sz w:val="24"/>
        </w:rPr>
        <w:t>DLRC</w:t>
      </w:r>
      <w:r w:rsidR="009A1DB0" w:rsidRPr="00BD42D8">
        <w:rPr>
          <w:sz w:val="24"/>
        </w:rPr>
        <w:t xml:space="preserve"> la nivel urban sunt</w:t>
      </w:r>
      <w:r w:rsidR="00B36C9F">
        <w:rPr>
          <w:sz w:val="24"/>
        </w:rPr>
        <w:t xml:space="preserve"> atât de ordin infrastructural cât și nevoi ce vizează furnizarea de servicii, respectiv</w:t>
      </w:r>
      <w:r w:rsidR="00D161FF" w:rsidRPr="00BD42D8">
        <w:rPr>
          <w:sz w:val="24"/>
        </w:rPr>
        <w:t>:</w:t>
      </w:r>
      <w:r w:rsidR="009A1DB0" w:rsidRPr="00BD42D8">
        <w:rPr>
          <w:sz w:val="24"/>
        </w:rPr>
        <w:t xml:space="preserve"> </w:t>
      </w:r>
    </w:p>
    <w:p w:rsidR="00B36C9F" w:rsidRPr="005349A7" w:rsidRDefault="009A1DB0" w:rsidP="005349A7">
      <w:pPr>
        <w:pStyle w:val="ListParagraph"/>
        <w:numPr>
          <w:ilvl w:val="0"/>
          <w:numId w:val="95"/>
        </w:numPr>
        <w:spacing w:after="0"/>
        <w:jc w:val="both"/>
        <w:rPr>
          <w:sz w:val="24"/>
        </w:rPr>
      </w:pPr>
      <w:r w:rsidRPr="005349A7">
        <w:rPr>
          <w:sz w:val="24"/>
        </w:rPr>
        <w:t>accesul redus sau lipsa accesului la</w:t>
      </w:r>
      <w:r w:rsidR="00B36C9F" w:rsidRPr="005349A7">
        <w:rPr>
          <w:sz w:val="24"/>
        </w:rPr>
        <w:t>:</w:t>
      </w:r>
    </w:p>
    <w:p w:rsidR="00B03A93" w:rsidRDefault="009A1DB0" w:rsidP="005349A7">
      <w:pPr>
        <w:pStyle w:val="ListParagraph"/>
        <w:numPr>
          <w:ilvl w:val="0"/>
          <w:numId w:val="94"/>
        </w:numPr>
        <w:spacing w:after="0"/>
        <w:jc w:val="both"/>
        <w:rPr>
          <w:sz w:val="24"/>
        </w:rPr>
      </w:pPr>
      <w:r w:rsidRPr="005349A7">
        <w:rPr>
          <w:sz w:val="24"/>
        </w:rPr>
        <w:t xml:space="preserve">condiţii decente de locuire, </w:t>
      </w:r>
    </w:p>
    <w:p w:rsidR="00B36C9F" w:rsidRDefault="00B36C9F" w:rsidP="005349A7">
      <w:pPr>
        <w:pStyle w:val="ListParagraph"/>
        <w:numPr>
          <w:ilvl w:val="0"/>
          <w:numId w:val="94"/>
        </w:numPr>
        <w:spacing w:after="0"/>
        <w:jc w:val="both"/>
        <w:rPr>
          <w:sz w:val="24"/>
        </w:rPr>
      </w:pPr>
      <w:r>
        <w:rPr>
          <w:sz w:val="24"/>
        </w:rPr>
        <w:t>s</w:t>
      </w:r>
      <w:r w:rsidRPr="005349A7">
        <w:rPr>
          <w:sz w:val="24"/>
        </w:rPr>
        <w:t xml:space="preserve">ervicii medicale și sociale de calitate, </w:t>
      </w:r>
    </w:p>
    <w:p w:rsidR="00B03A93" w:rsidRDefault="00636AB3" w:rsidP="005349A7">
      <w:pPr>
        <w:pStyle w:val="ListParagraph"/>
        <w:numPr>
          <w:ilvl w:val="0"/>
          <w:numId w:val="94"/>
        </w:numPr>
        <w:spacing w:after="0"/>
        <w:jc w:val="both"/>
        <w:rPr>
          <w:sz w:val="24"/>
        </w:rPr>
      </w:pPr>
      <w:r>
        <w:rPr>
          <w:sz w:val="24"/>
        </w:rPr>
        <w:t>infrastructură</w:t>
      </w:r>
      <w:r w:rsidR="009A1DB0" w:rsidRPr="005349A7">
        <w:rPr>
          <w:sz w:val="24"/>
        </w:rPr>
        <w:t xml:space="preserve"> şi resurse educaţionale</w:t>
      </w:r>
      <w:r w:rsidR="00B36C9F">
        <w:rPr>
          <w:sz w:val="24"/>
        </w:rPr>
        <w:t xml:space="preserve"> de calitate</w:t>
      </w:r>
      <w:r w:rsidR="009A1DB0" w:rsidRPr="005349A7">
        <w:rPr>
          <w:sz w:val="24"/>
        </w:rPr>
        <w:t>,</w:t>
      </w:r>
    </w:p>
    <w:p w:rsidR="00B03A93" w:rsidRDefault="009A1DB0" w:rsidP="005349A7">
      <w:pPr>
        <w:pStyle w:val="ListParagraph"/>
        <w:numPr>
          <w:ilvl w:val="0"/>
          <w:numId w:val="94"/>
        </w:numPr>
        <w:spacing w:after="0"/>
        <w:jc w:val="both"/>
        <w:rPr>
          <w:sz w:val="24"/>
        </w:rPr>
      </w:pPr>
      <w:r w:rsidRPr="005349A7">
        <w:rPr>
          <w:sz w:val="24"/>
        </w:rPr>
        <w:lastRenderedPageBreak/>
        <w:t xml:space="preserve">ocupare şi </w:t>
      </w:r>
      <w:r w:rsidR="00636AB3">
        <w:rPr>
          <w:sz w:val="24"/>
        </w:rPr>
        <w:t>oportunităţi</w:t>
      </w:r>
      <w:r w:rsidRPr="005349A7">
        <w:rPr>
          <w:sz w:val="24"/>
        </w:rPr>
        <w:t xml:space="preserve"> de ocupare, </w:t>
      </w:r>
    </w:p>
    <w:p w:rsidR="00B36C9F" w:rsidRPr="005349A7" w:rsidRDefault="00B36C9F" w:rsidP="00636AB3">
      <w:pPr>
        <w:pStyle w:val="ListParagraph"/>
        <w:numPr>
          <w:ilvl w:val="0"/>
          <w:numId w:val="94"/>
        </w:numPr>
        <w:spacing w:after="60"/>
        <w:ind w:left="1066" w:hanging="357"/>
        <w:contextualSpacing w:val="0"/>
        <w:jc w:val="both"/>
        <w:rPr>
          <w:sz w:val="24"/>
        </w:rPr>
      </w:pPr>
      <w:r w:rsidRPr="005349A7">
        <w:rPr>
          <w:sz w:val="24"/>
        </w:rPr>
        <w:t xml:space="preserve">un mediu ambiental și </w:t>
      </w:r>
      <w:r w:rsidR="00636AB3">
        <w:rPr>
          <w:sz w:val="24"/>
        </w:rPr>
        <w:t>o infrastructură</w:t>
      </w:r>
      <w:r w:rsidRPr="005349A7">
        <w:rPr>
          <w:sz w:val="24"/>
        </w:rPr>
        <w:t xml:space="preserve"> de utilități publice de calitate,</w:t>
      </w:r>
    </w:p>
    <w:p w:rsidR="00B03A93" w:rsidRPr="005349A7" w:rsidRDefault="009A1DB0" w:rsidP="00636AB3">
      <w:pPr>
        <w:pStyle w:val="ListParagraph"/>
        <w:numPr>
          <w:ilvl w:val="0"/>
          <w:numId w:val="95"/>
        </w:numPr>
        <w:spacing w:after="60"/>
        <w:ind w:left="357" w:hanging="357"/>
        <w:contextualSpacing w:val="0"/>
        <w:jc w:val="both"/>
        <w:rPr>
          <w:sz w:val="24"/>
        </w:rPr>
      </w:pPr>
      <w:r w:rsidRPr="005349A7">
        <w:rPr>
          <w:sz w:val="24"/>
        </w:rPr>
        <w:t xml:space="preserve">slaba capacitate de inovare şi cunoaştere la nivelul zonei, </w:t>
      </w:r>
    </w:p>
    <w:p w:rsidR="0071257C" w:rsidRPr="005349A7" w:rsidRDefault="009A1DB0" w:rsidP="00636AB3">
      <w:pPr>
        <w:pStyle w:val="ListParagraph"/>
        <w:numPr>
          <w:ilvl w:val="0"/>
          <w:numId w:val="95"/>
        </w:numPr>
        <w:spacing w:after="120"/>
        <w:ind w:left="357" w:hanging="357"/>
        <w:contextualSpacing w:val="0"/>
        <w:jc w:val="both"/>
        <w:rPr>
          <w:sz w:val="24"/>
        </w:rPr>
      </w:pPr>
      <w:r w:rsidRPr="005349A7">
        <w:rPr>
          <w:sz w:val="24"/>
        </w:rPr>
        <w:t xml:space="preserve">riscul mare de excluziune socială </w:t>
      </w:r>
      <w:r w:rsidR="00B03A93" w:rsidRPr="005349A7">
        <w:rPr>
          <w:sz w:val="24"/>
        </w:rPr>
        <w:t xml:space="preserve">(acest risc este rezultatul cumulului de nevoi enunțate mai sus, nu este o nevoie în sine, ci un efect) </w:t>
      </w:r>
      <w:r w:rsidRPr="005349A7">
        <w:rPr>
          <w:sz w:val="24"/>
        </w:rPr>
        <w:t>pentru grupurile defavorizate identificate în cadrul zonel</w:t>
      </w:r>
      <w:r w:rsidR="00315B9C" w:rsidRPr="005349A7">
        <w:rPr>
          <w:sz w:val="24"/>
        </w:rPr>
        <w:t>or</w:t>
      </w:r>
      <w:r w:rsidRPr="005349A7">
        <w:rPr>
          <w:sz w:val="24"/>
        </w:rPr>
        <w:t xml:space="preserve"> urbane marginalizate</w:t>
      </w:r>
      <w:r w:rsidR="0071257C" w:rsidRPr="005349A7">
        <w:rPr>
          <w:sz w:val="24"/>
        </w:rPr>
        <w:t>.</w:t>
      </w:r>
    </w:p>
    <w:p w:rsidR="0071257C" w:rsidRPr="00BD42D8" w:rsidRDefault="009A1DB0" w:rsidP="00636AB3">
      <w:pPr>
        <w:spacing w:after="120"/>
        <w:jc w:val="both"/>
        <w:rPr>
          <w:sz w:val="24"/>
        </w:rPr>
      </w:pPr>
      <w:r w:rsidRPr="00BD42D8">
        <w:rPr>
          <w:sz w:val="24"/>
        </w:rPr>
        <w:t xml:space="preserve">Aplicarea </w:t>
      </w:r>
      <w:r w:rsidR="001462E7" w:rsidRPr="00BD42D8">
        <w:rPr>
          <w:sz w:val="24"/>
        </w:rPr>
        <w:t>DLRC</w:t>
      </w:r>
      <w:r w:rsidRPr="00BD42D8">
        <w:rPr>
          <w:sz w:val="24"/>
        </w:rPr>
        <w:t xml:space="preserve"> în zonele urbane are ca obiectiv</w:t>
      </w:r>
      <w:r w:rsidR="00B36C9F">
        <w:rPr>
          <w:sz w:val="24"/>
        </w:rPr>
        <w:t>e</w:t>
      </w:r>
      <w:r w:rsidRPr="00BD42D8">
        <w:rPr>
          <w:sz w:val="24"/>
        </w:rPr>
        <w:t xml:space="preserve"> </w:t>
      </w:r>
      <w:r w:rsidR="0071257C" w:rsidRPr="00BD42D8">
        <w:rPr>
          <w:sz w:val="24"/>
        </w:rPr>
        <w:t>scoaterea din sărăcie</w:t>
      </w:r>
      <w:r w:rsidR="006F6120" w:rsidRPr="00BD42D8">
        <w:rPr>
          <w:sz w:val="24"/>
        </w:rPr>
        <w:t xml:space="preserve">/reducerea sărăciei </w:t>
      </w:r>
      <w:r w:rsidR="00B36C9F" w:rsidRPr="00BD42D8">
        <w:rPr>
          <w:sz w:val="24"/>
        </w:rPr>
        <w:t xml:space="preserve">şi integrarea socială </w:t>
      </w:r>
      <w:r w:rsidRPr="00BD42D8">
        <w:rPr>
          <w:sz w:val="24"/>
        </w:rPr>
        <w:t>prin stimu</w:t>
      </w:r>
      <w:r w:rsidR="001D3A3C">
        <w:rPr>
          <w:sz w:val="24"/>
        </w:rPr>
        <w:t>larea asocierii „de jos în sus”</w:t>
      </w:r>
      <w:r w:rsidRPr="00BD42D8">
        <w:rPr>
          <w:sz w:val="24"/>
        </w:rPr>
        <w:t xml:space="preserve"> a actorilor dintr-un teritoriu care elaborează şi aplică strategii integrate şi multis</w:t>
      </w:r>
      <w:r w:rsidR="0071257C" w:rsidRPr="00BD42D8">
        <w:rPr>
          <w:sz w:val="24"/>
        </w:rPr>
        <w:t>ectoriale de dezvoltare locală.</w:t>
      </w:r>
    </w:p>
    <w:p w:rsidR="0071257C" w:rsidRPr="00BD42D8" w:rsidRDefault="007C23DE" w:rsidP="00636AB3">
      <w:pPr>
        <w:spacing w:after="120"/>
        <w:jc w:val="both"/>
        <w:rPr>
          <w:sz w:val="24"/>
        </w:rPr>
      </w:pPr>
      <w:r w:rsidRPr="00BD42D8">
        <w:rPr>
          <w:sz w:val="24"/>
        </w:rPr>
        <w:t xml:space="preserve">În acest sens, </w:t>
      </w:r>
      <w:r w:rsidR="0089593F">
        <w:rPr>
          <w:sz w:val="24"/>
        </w:rPr>
        <w:t xml:space="preserve">prin </w:t>
      </w:r>
      <w:r w:rsidRPr="00BD42D8">
        <w:rPr>
          <w:sz w:val="24"/>
        </w:rPr>
        <w:t xml:space="preserve">POCU (Axa Prioritară 5 – Dezvoltare Locală Plasată sub Responsabilitatea Comunității) și </w:t>
      </w:r>
      <w:r w:rsidR="0089593F">
        <w:rPr>
          <w:sz w:val="24"/>
        </w:rPr>
        <w:t xml:space="preserve">prin </w:t>
      </w:r>
      <w:r w:rsidR="006F6120" w:rsidRPr="00BD42D8">
        <w:rPr>
          <w:sz w:val="24"/>
        </w:rPr>
        <w:t xml:space="preserve">POR </w:t>
      </w:r>
      <w:r w:rsidRPr="00BD42D8">
        <w:rPr>
          <w:sz w:val="24"/>
        </w:rPr>
        <w:t xml:space="preserve">(Axa Prioritară 9 - Sprijinirea regenerării economice și sociale a comunităților defavorizate din mediul urban) </w:t>
      </w:r>
      <w:r w:rsidR="0089593F">
        <w:rPr>
          <w:sz w:val="24"/>
        </w:rPr>
        <w:t xml:space="preserve">se </w:t>
      </w:r>
      <w:r w:rsidR="002B09D9">
        <w:rPr>
          <w:sz w:val="24"/>
        </w:rPr>
        <w:t>asigură</w:t>
      </w:r>
      <w:r w:rsidRPr="00BD42D8">
        <w:rPr>
          <w:sz w:val="24"/>
        </w:rPr>
        <w:t xml:space="preserve"> alocările financiare necesare implementării strategiilor integrate de dezvoltare locală pentru o</w:t>
      </w:r>
      <w:r w:rsidR="00562D5A">
        <w:rPr>
          <w:sz w:val="24"/>
        </w:rPr>
        <w:t>rașe cu o populație de peste 20.</w:t>
      </w:r>
      <w:r w:rsidRPr="00BD42D8">
        <w:rPr>
          <w:sz w:val="24"/>
        </w:rPr>
        <w:t>000 de locuitori. Prin intermediul acestor programe se vor finanța doar GAL</w:t>
      </w:r>
      <w:r w:rsidR="00EB753A">
        <w:rPr>
          <w:sz w:val="24"/>
        </w:rPr>
        <w:t>-urile</w:t>
      </w:r>
      <w:r w:rsidR="0071257C" w:rsidRPr="00BD42D8">
        <w:rPr>
          <w:sz w:val="24"/>
        </w:rPr>
        <w:t xml:space="preserve"> constituite în mediul urban. </w:t>
      </w:r>
    </w:p>
    <w:p w:rsidR="0071257C" w:rsidRPr="00BD42D8" w:rsidRDefault="00EE4444" w:rsidP="00636AB3">
      <w:pPr>
        <w:spacing w:after="120"/>
        <w:jc w:val="both"/>
        <w:rPr>
          <w:sz w:val="24"/>
        </w:rPr>
      </w:pPr>
      <w:r>
        <w:rPr>
          <w:sz w:val="24"/>
        </w:rPr>
        <w:t>Proiectele POR</w:t>
      </w:r>
      <w:r w:rsidR="00B36C9F">
        <w:rPr>
          <w:sz w:val="24"/>
        </w:rPr>
        <w:t xml:space="preserve"> și </w:t>
      </w:r>
      <w:r>
        <w:rPr>
          <w:sz w:val="24"/>
        </w:rPr>
        <w:t xml:space="preserve">POCU ce vor fi propuse spre finanțare în cadrul Strategiilor </w:t>
      </w:r>
      <w:r w:rsidRPr="00BD42D8">
        <w:rPr>
          <w:sz w:val="24"/>
        </w:rPr>
        <w:t xml:space="preserve">DLRC </w:t>
      </w:r>
      <w:r>
        <w:rPr>
          <w:sz w:val="24"/>
        </w:rPr>
        <w:t xml:space="preserve">vor viza </w:t>
      </w:r>
      <w:r w:rsidR="009A1DB0" w:rsidRPr="00BD42D8">
        <w:rPr>
          <w:sz w:val="24"/>
        </w:rPr>
        <w:t xml:space="preserve">investiţii </w:t>
      </w:r>
      <w:r w:rsidR="00D161FF" w:rsidRPr="00BD42D8">
        <w:rPr>
          <w:sz w:val="24"/>
        </w:rPr>
        <w:t xml:space="preserve">complementare </w:t>
      </w:r>
      <w:r>
        <w:rPr>
          <w:sz w:val="24"/>
        </w:rPr>
        <w:t xml:space="preserve">axate </w:t>
      </w:r>
      <w:r w:rsidR="009A1DB0" w:rsidRPr="00BD42D8">
        <w:rPr>
          <w:sz w:val="24"/>
        </w:rPr>
        <w:t xml:space="preserve">atât pe </w:t>
      </w:r>
      <w:r w:rsidR="009A1DB0" w:rsidRPr="00636AB3">
        <w:rPr>
          <w:b/>
          <w:sz w:val="24"/>
        </w:rPr>
        <w:t>infrastructura</w:t>
      </w:r>
      <w:r w:rsidR="009A1DB0" w:rsidRPr="00BD42D8">
        <w:rPr>
          <w:sz w:val="24"/>
        </w:rPr>
        <w:t xml:space="preserve"> </w:t>
      </w:r>
      <w:r w:rsidR="00B36C9F">
        <w:rPr>
          <w:sz w:val="24"/>
        </w:rPr>
        <w:t>(</w:t>
      </w:r>
      <w:r w:rsidR="009A1DB0" w:rsidRPr="00BD42D8">
        <w:rPr>
          <w:sz w:val="24"/>
        </w:rPr>
        <w:t xml:space="preserve">de locuire </w:t>
      </w:r>
      <w:r w:rsidR="004C362E">
        <w:rPr>
          <w:sz w:val="24"/>
        </w:rPr>
        <w:t xml:space="preserve"> - </w:t>
      </w:r>
      <w:r w:rsidR="009A1DB0" w:rsidRPr="00BD42D8">
        <w:rPr>
          <w:sz w:val="24"/>
        </w:rPr>
        <w:t xml:space="preserve">locuinţe sociale, infrastructura socială </w:t>
      </w:r>
      <w:r w:rsidR="004C362E">
        <w:rPr>
          <w:sz w:val="24"/>
        </w:rPr>
        <w:t xml:space="preserve">- </w:t>
      </w:r>
      <w:r w:rsidR="009A1DB0" w:rsidRPr="00BD42D8">
        <w:rPr>
          <w:sz w:val="24"/>
        </w:rPr>
        <w:t xml:space="preserve">educaţie, sănătate, servicii sociale, </w:t>
      </w:r>
      <w:r w:rsidR="0022728B" w:rsidRPr="00BD42D8">
        <w:rPr>
          <w:sz w:val="24"/>
        </w:rPr>
        <w:t>amenaj</w:t>
      </w:r>
      <w:r>
        <w:rPr>
          <w:sz w:val="24"/>
        </w:rPr>
        <w:t>area</w:t>
      </w:r>
      <w:r w:rsidR="0022728B" w:rsidRPr="00BD42D8">
        <w:rPr>
          <w:sz w:val="24"/>
        </w:rPr>
        <w:t xml:space="preserve"> spațiului urban degradat şi/sau ale spațiilor publice urbane,</w:t>
      </w:r>
      <w:r w:rsidR="004C362E">
        <w:rPr>
          <w:sz w:val="24"/>
        </w:rPr>
        <w:t xml:space="preserve"> etc.)</w:t>
      </w:r>
      <w:r w:rsidR="0022728B" w:rsidRPr="00BD42D8">
        <w:rPr>
          <w:sz w:val="24"/>
        </w:rPr>
        <w:t xml:space="preserve"> </w:t>
      </w:r>
      <w:r w:rsidR="0071257C" w:rsidRPr="00BD42D8">
        <w:rPr>
          <w:sz w:val="24"/>
        </w:rPr>
        <w:t>cât și pe</w:t>
      </w:r>
      <w:r w:rsidR="004C362E">
        <w:rPr>
          <w:sz w:val="24"/>
        </w:rPr>
        <w:t xml:space="preserve"> </w:t>
      </w:r>
      <w:r w:rsidR="004C362E" w:rsidRPr="00636AB3">
        <w:rPr>
          <w:b/>
          <w:sz w:val="24"/>
        </w:rPr>
        <w:t>servicii</w:t>
      </w:r>
      <w:r w:rsidR="004C362E">
        <w:rPr>
          <w:sz w:val="24"/>
        </w:rPr>
        <w:t xml:space="preserve"> </w:t>
      </w:r>
      <w:r w:rsidR="0071257C" w:rsidRPr="00BD42D8">
        <w:rPr>
          <w:sz w:val="24"/>
        </w:rPr>
        <w:t xml:space="preserve"> </w:t>
      </w:r>
      <w:r w:rsidR="004C362E">
        <w:rPr>
          <w:sz w:val="24"/>
        </w:rPr>
        <w:t>(</w:t>
      </w:r>
      <w:r w:rsidR="00262CB4" w:rsidRPr="00BD42D8">
        <w:rPr>
          <w:sz w:val="24"/>
        </w:rPr>
        <w:t xml:space="preserve">măsuri destinate încurajării ocupării </w:t>
      </w:r>
      <w:r w:rsidR="004C362E">
        <w:rPr>
          <w:sz w:val="24"/>
        </w:rPr>
        <w:t xml:space="preserve"> - </w:t>
      </w:r>
      <w:r w:rsidR="00262CB4" w:rsidRPr="00BD42D8">
        <w:rPr>
          <w:sz w:val="24"/>
        </w:rPr>
        <w:t>inclusiv prin activităţi de economie socială de inserţie</w:t>
      </w:r>
      <w:r w:rsidR="00562D5A">
        <w:rPr>
          <w:sz w:val="24"/>
        </w:rPr>
        <w:t xml:space="preserve"> </w:t>
      </w:r>
      <w:r w:rsidR="00B65EE3">
        <w:rPr>
          <w:sz w:val="24"/>
        </w:rPr>
        <w:t>și</w:t>
      </w:r>
      <w:r w:rsidR="00262CB4" w:rsidRPr="00BD42D8">
        <w:rPr>
          <w:sz w:val="24"/>
        </w:rPr>
        <w:t xml:space="preserve"> </w:t>
      </w:r>
      <w:r w:rsidR="00B65EE3">
        <w:rPr>
          <w:sz w:val="24"/>
        </w:rPr>
        <w:t xml:space="preserve">dezvoltării serviciilor socio-medicale la nivel comunitar, </w:t>
      </w:r>
      <w:r w:rsidR="0071257C" w:rsidRPr="00BD42D8">
        <w:rPr>
          <w:sz w:val="24"/>
        </w:rPr>
        <w:t xml:space="preserve">inclusiv </w:t>
      </w:r>
      <w:r w:rsidR="0022728B" w:rsidRPr="00BD42D8">
        <w:rPr>
          <w:sz w:val="24"/>
        </w:rPr>
        <w:t xml:space="preserve">implementarea unor activităţi de dezvoltare comunitară integrată </w:t>
      </w:r>
      <w:r w:rsidR="004C362E">
        <w:rPr>
          <w:sz w:val="24"/>
        </w:rPr>
        <w:t xml:space="preserve"> - </w:t>
      </w:r>
      <w:r w:rsidR="0022728B" w:rsidRPr="00BD42D8">
        <w:rPr>
          <w:sz w:val="24"/>
        </w:rPr>
        <w:t>informare/consiliere/mediere etc.)</w:t>
      </w:r>
      <w:r w:rsidR="0071257C" w:rsidRPr="00BD42D8">
        <w:rPr>
          <w:sz w:val="24"/>
        </w:rPr>
        <w:t>.</w:t>
      </w:r>
    </w:p>
    <w:p w:rsidR="009A1DB0" w:rsidRPr="00BD42D8" w:rsidRDefault="009A1DB0" w:rsidP="00B5178C">
      <w:pPr>
        <w:spacing w:after="0"/>
        <w:jc w:val="both"/>
        <w:rPr>
          <w:sz w:val="24"/>
        </w:rPr>
      </w:pPr>
      <w:r w:rsidRPr="00BD42D8">
        <w:rPr>
          <w:sz w:val="24"/>
        </w:rPr>
        <w:t>Fiecare zonă vi</w:t>
      </w:r>
      <w:r w:rsidR="0071257C" w:rsidRPr="00BD42D8">
        <w:rPr>
          <w:sz w:val="24"/>
        </w:rPr>
        <w:t>zată</w:t>
      </w:r>
      <w:r w:rsidRPr="00BD42D8">
        <w:rPr>
          <w:sz w:val="24"/>
        </w:rPr>
        <w:t xml:space="preserve"> de un parteneriat local (grup de acțiune locală) trebuie să îndeplinească cumulativ următoarele condiţii:</w:t>
      </w:r>
    </w:p>
    <w:p w:rsidR="009A1DB0" w:rsidRPr="00BD42D8" w:rsidRDefault="009A1DB0" w:rsidP="00B5178C">
      <w:pPr>
        <w:numPr>
          <w:ilvl w:val="0"/>
          <w:numId w:val="1"/>
        </w:numPr>
        <w:spacing w:after="0"/>
        <w:jc w:val="both"/>
        <w:rPr>
          <w:sz w:val="24"/>
        </w:rPr>
      </w:pPr>
      <w:r w:rsidRPr="00BD42D8">
        <w:rPr>
          <w:sz w:val="24"/>
        </w:rPr>
        <w:t xml:space="preserve">să aibă o populaţie totală (inclusiv populaţia marginalizată) de minimum 10.000 </w:t>
      </w:r>
      <w:proofErr w:type="spellStart"/>
      <w:r w:rsidRPr="00BD42D8">
        <w:rPr>
          <w:sz w:val="24"/>
        </w:rPr>
        <w:t>locuitori</w:t>
      </w:r>
      <w:r w:rsidR="00FA2867">
        <w:rPr>
          <w:sz w:val="24"/>
        </w:rPr>
        <w:t>și</w:t>
      </w:r>
      <w:proofErr w:type="spellEnd"/>
      <w:r w:rsidR="00FA2867">
        <w:rPr>
          <w:sz w:val="24"/>
        </w:rPr>
        <w:t xml:space="preserve"> maximum </w:t>
      </w:r>
      <w:r w:rsidR="00FA2867" w:rsidRPr="00BD42D8">
        <w:rPr>
          <w:sz w:val="24"/>
        </w:rPr>
        <w:t>150.000 de locuitori</w:t>
      </w:r>
    </w:p>
    <w:p w:rsidR="009A1DB0" w:rsidRPr="00BD42D8" w:rsidRDefault="009A1DB0" w:rsidP="00B5178C">
      <w:pPr>
        <w:numPr>
          <w:ilvl w:val="0"/>
          <w:numId w:val="1"/>
        </w:numPr>
        <w:spacing w:after="0"/>
        <w:jc w:val="both"/>
        <w:rPr>
          <w:sz w:val="24"/>
        </w:rPr>
      </w:pPr>
      <w:r w:rsidRPr="00BD42D8">
        <w:rPr>
          <w:sz w:val="24"/>
        </w:rPr>
        <w:t>să facă parte dintr-un oraş cu o populaţie de peste 20</w:t>
      </w:r>
      <w:r w:rsidR="003A1C2D" w:rsidRPr="00BD42D8">
        <w:rPr>
          <w:sz w:val="24"/>
        </w:rPr>
        <w:t>.</w:t>
      </w:r>
      <w:r w:rsidRPr="00BD42D8">
        <w:rPr>
          <w:sz w:val="24"/>
        </w:rPr>
        <w:t>000 locuitori</w:t>
      </w:r>
      <w:r w:rsidR="00157266" w:rsidRPr="00BD42D8">
        <w:rPr>
          <w:sz w:val="24"/>
        </w:rPr>
        <w:t xml:space="preserve"> </w:t>
      </w:r>
      <w:r w:rsidR="00FA2867">
        <w:rPr>
          <w:sz w:val="24"/>
        </w:rPr>
        <w:t>;</w:t>
      </w:r>
    </w:p>
    <w:p w:rsidR="009A1DB0" w:rsidRPr="00BD42D8" w:rsidRDefault="009A1DB0" w:rsidP="00636AB3">
      <w:pPr>
        <w:numPr>
          <w:ilvl w:val="0"/>
          <w:numId w:val="1"/>
        </w:numPr>
        <w:spacing w:after="120"/>
        <w:ind w:left="782" w:hanging="357"/>
        <w:jc w:val="both"/>
        <w:rPr>
          <w:sz w:val="24"/>
        </w:rPr>
      </w:pPr>
      <w:r w:rsidRPr="00BD42D8">
        <w:rPr>
          <w:sz w:val="24"/>
        </w:rPr>
        <w:t xml:space="preserve">să fie coerente (unitare) din punct de vedere economic, social și fizic. </w:t>
      </w:r>
    </w:p>
    <w:p w:rsidR="00470D33" w:rsidRDefault="009A1DB0" w:rsidP="00B5178C">
      <w:pPr>
        <w:spacing w:after="0"/>
        <w:jc w:val="both"/>
        <w:rPr>
          <w:sz w:val="24"/>
        </w:rPr>
      </w:pPr>
      <w:r w:rsidRPr="00BD42D8">
        <w:rPr>
          <w:sz w:val="24"/>
        </w:rPr>
        <w:t>Teritoriul poate varia, ca formă și delimitare, de la o singură zonă dintr-un oraș (de exemplu - zonă de tip ghetou cu blocuri) la mai multe zone de acest tip. Decizia referitoare la delimitarea exactă a zonelor aparține grupurilor de acțiune locală, asigurându-se astfel respectarea condițiilor specifice și</w:t>
      </w:r>
      <w:r w:rsidR="00562D5A">
        <w:rPr>
          <w:sz w:val="24"/>
        </w:rPr>
        <w:t xml:space="preserve"> a scopurilor strategiei locale</w:t>
      </w:r>
      <w:r w:rsidRPr="00BD42D8">
        <w:rPr>
          <w:rStyle w:val="FootnoteReference"/>
          <w:sz w:val="24"/>
        </w:rPr>
        <w:footnoteReference w:id="1"/>
      </w:r>
      <w:r w:rsidR="00562D5A">
        <w:rPr>
          <w:sz w:val="24"/>
        </w:rPr>
        <w:t>.</w:t>
      </w:r>
    </w:p>
    <w:p w:rsidR="00455F11" w:rsidRDefault="00455F11" w:rsidP="00B5178C">
      <w:pPr>
        <w:spacing w:after="0"/>
        <w:jc w:val="both"/>
        <w:rPr>
          <w:sz w:val="24"/>
        </w:rPr>
      </w:pPr>
    </w:p>
    <w:p w:rsidR="00A560FB" w:rsidRDefault="00A560FB" w:rsidP="00B5178C">
      <w:pPr>
        <w:spacing w:after="0"/>
        <w:jc w:val="both"/>
        <w:rPr>
          <w:sz w:val="24"/>
        </w:rPr>
      </w:pPr>
    </w:p>
    <w:p w:rsidR="00645923" w:rsidRPr="002A71BA" w:rsidRDefault="00470D33" w:rsidP="001E4356">
      <w:pPr>
        <w:pStyle w:val="Heading1"/>
        <w:numPr>
          <w:ilvl w:val="0"/>
          <w:numId w:val="69"/>
        </w:numPr>
        <w:tabs>
          <w:tab w:val="left" w:pos="426"/>
          <w:tab w:val="left" w:pos="567"/>
        </w:tabs>
        <w:spacing w:before="120" w:after="120"/>
        <w:ind w:left="284" w:firstLine="0"/>
        <w:jc w:val="both"/>
        <w:rPr>
          <w:rFonts w:ascii="Trebuchet MS" w:eastAsia="Times New Roman" w:hAnsi="Trebuchet MS" w:cs="Times New Roman"/>
          <w:bCs w:val="0"/>
          <w:color w:val="0070C0"/>
          <w:sz w:val="24"/>
          <w:szCs w:val="24"/>
        </w:rPr>
      </w:pPr>
      <w:bookmarkStart w:id="2" w:name="_Toc485991236"/>
      <w:r w:rsidRPr="002A71BA">
        <w:rPr>
          <w:rFonts w:ascii="Trebuchet MS" w:eastAsia="Times New Roman" w:hAnsi="Trebuchet MS" w:cs="Times New Roman"/>
          <w:bCs w:val="0"/>
          <w:color w:val="0070C0"/>
          <w:sz w:val="24"/>
          <w:szCs w:val="24"/>
        </w:rPr>
        <w:lastRenderedPageBreak/>
        <w:t>Etapele Mecanismului DLRC</w:t>
      </w:r>
      <w:bookmarkEnd w:id="2"/>
    </w:p>
    <w:p w:rsidR="00645923" w:rsidRPr="00645923" w:rsidRDefault="00645923" w:rsidP="001E4356">
      <w:pPr>
        <w:spacing w:after="0"/>
        <w:jc w:val="both"/>
        <w:rPr>
          <w:sz w:val="24"/>
        </w:rPr>
      </w:pPr>
      <w:r w:rsidRPr="00645923">
        <w:rPr>
          <w:sz w:val="24"/>
        </w:rPr>
        <w:t>Implementarea instrumentului DLRC</w:t>
      </w:r>
      <w:r w:rsidR="00F222C1">
        <w:rPr>
          <w:sz w:val="24"/>
        </w:rPr>
        <w:t xml:space="preserve"> la nivelul orașelor cu peste 20.000 de locuitori</w:t>
      </w:r>
      <w:r w:rsidRPr="00645923">
        <w:rPr>
          <w:sz w:val="24"/>
        </w:rPr>
        <w:t xml:space="preserve"> presupune parcurgerea </w:t>
      </w:r>
      <w:r>
        <w:rPr>
          <w:sz w:val="24"/>
        </w:rPr>
        <w:t xml:space="preserve">următoarelor etape: </w:t>
      </w:r>
    </w:p>
    <w:p w:rsidR="00645923" w:rsidRPr="00562D5A" w:rsidRDefault="00645923" w:rsidP="001E4356">
      <w:pPr>
        <w:pStyle w:val="ListParagraph"/>
        <w:numPr>
          <w:ilvl w:val="0"/>
          <w:numId w:val="76"/>
        </w:numPr>
        <w:spacing w:after="0"/>
        <w:contextualSpacing w:val="0"/>
        <w:jc w:val="both"/>
        <w:rPr>
          <w:sz w:val="24"/>
        </w:rPr>
      </w:pPr>
      <w:r>
        <w:rPr>
          <w:sz w:val="24"/>
        </w:rPr>
        <w:t>E</w:t>
      </w:r>
      <w:r w:rsidR="00562D5A">
        <w:rPr>
          <w:sz w:val="24"/>
        </w:rPr>
        <w:t>tapa I – Înființarea/</w:t>
      </w:r>
      <w:r w:rsidRPr="00562D5A">
        <w:rPr>
          <w:sz w:val="24"/>
        </w:rPr>
        <w:t xml:space="preserve">adaptarea GAL și elaborarea SDL în conformitate cu cerințele DLRC </w:t>
      </w:r>
    </w:p>
    <w:p w:rsidR="00645923" w:rsidRPr="00562D5A" w:rsidRDefault="00645923" w:rsidP="001E4356">
      <w:pPr>
        <w:pStyle w:val="ListParagraph"/>
        <w:numPr>
          <w:ilvl w:val="0"/>
          <w:numId w:val="76"/>
        </w:numPr>
        <w:spacing w:after="0"/>
        <w:contextualSpacing w:val="0"/>
        <w:jc w:val="both"/>
        <w:rPr>
          <w:sz w:val="24"/>
        </w:rPr>
      </w:pPr>
      <w:r w:rsidRPr="00645923">
        <w:rPr>
          <w:sz w:val="24"/>
        </w:rPr>
        <w:t>E</w:t>
      </w:r>
      <w:r w:rsidRPr="00562D5A">
        <w:rPr>
          <w:sz w:val="24"/>
        </w:rPr>
        <w:t>tapa II – Depunerea și selec</w:t>
      </w:r>
      <w:r w:rsidR="00EE4444">
        <w:rPr>
          <w:sz w:val="24"/>
        </w:rPr>
        <w:t>ția</w:t>
      </w:r>
      <w:r w:rsidRPr="00562D5A">
        <w:rPr>
          <w:sz w:val="24"/>
        </w:rPr>
        <w:t xml:space="preserve"> strategiilor DLRC</w:t>
      </w:r>
    </w:p>
    <w:p w:rsidR="00645923" w:rsidRPr="00562D5A" w:rsidRDefault="00645923" w:rsidP="00F45A4E">
      <w:pPr>
        <w:pStyle w:val="ListParagraph"/>
        <w:numPr>
          <w:ilvl w:val="0"/>
          <w:numId w:val="76"/>
        </w:numPr>
        <w:spacing w:after="120"/>
        <w:ind w:left="1060" w:hanging="703"/>
        <w:contextualSpacing w:val="0"/>
        <w:jc w:val="both"/>
        <w:rPr>
          <w:sz w:val="24"/>
        </w:rPr>
      </w:pPr>
      <w:r w:rsidRPr="00645923">
        <w:rPr>
          <w:sz w:val="24"/>
        </w:rPr>
        <w:t>E</w:t>
      </w:r>
      <w:r w:rsidRPr="00562D5A">
        <w:rPr>
          <w:sz w:val="24"/>
        </w:rPr>
        <w:t>tapa III – Selectarea și implementarea proiectelor aferente SDL selectate</w:t>
      </w:r>
    </w:p>
    <w:p w:rsidR="00645923" w:rsidRPr="00F45A4E" w:rsidRDefault="00645923" w:rsidP="00F45A4E">
      <w:pPr>
        <w:spacing w:before="60" w:after="120"/>
        <w:jc w:val="both"/>
        <w:rPr>
          <w:sz w:val="24"/>
        </w:rPr>
      </w:pPr>
      <w:r w:rsidRPr="00F45A4E">
        <w:rPr>
          <w:sz w:val="24"/>
        </w:rPr>
        <w:t>În cadrul Etapei I a mecanismului DLRC,</w:t>
      </w:r>
      <w:r w:rsidR="007B11C8">
        <w:rPr>
          <w:sz w:val="24"/>
        </w:rPr>
        <w:t xml:space="preserve"> </w:t>
      </w:r>
      <w:r w:rsidR="00DD5D70">
        <w:rPr>
          <w:sz w:val="24"/>
        </w:rPr>
        <w:t xml:space="preserve">demarată în anul 2016, </w:t>
      </w:r>
      <w:r w:rsidR="00F45A4E" w:rsidRPr="00F45A4E">
        <w:rPr>
          <w:sz w:val="24"/>
        </w:rPr>
        <w:t>la nivelul</w:t>
      </w:r>
      <w:r w:rsidR="00EE4444" w:rsidRPr="00F45A4E">
        <w:rPr>
          <w:sz w:val="24"/>
        </w:rPr>
        <w:t xml:space="preserve"> POCU </w:t>
      </w:r>
      <w:r w:rsidR="007B11C8" w:rsidRPr="007B11C8">
        <w:rPr>
          <w:sz w:val="24"/>
        </w:rPr>
        <w:t>au fost lansate</w:t>
      </w:r>
      <w:r w:rsidR="00DD5D70">
        <w:rPr>
          <w:sz w:val="24"/>
        </w:rPr>
        <w:t xml:space="preserve"> </w:t>
      </w:r>
      <w:r w:rsidR="007B11C8" w:rsidRPr="007B11C8">
        <w:rPr>
          <w:sz w:val="24"/>
        </w:rPr>
        <w:t>patru apeluri</w:t>
      </w:r>
      <w:r w:rsidR="007B11C8">
        <w:rPr>
          <w:sz w:val="24"/>
        </w:rPr>
        <w:t xml:space="preserve"> de </w:t>
      </w:r>
      <w:r w:rsidR="007B11C8" w:rsidRPr="007B11C8">
        <w:rPr>
          <w:sz w:val="24"/>
        </w:rPr>
        <w:t xml:space="preserve">”Sprijin pregătitor pentru elaborarea Strategiilor de Dezvoltare Locală”  - orașe/ municipii cu populație de peste 20.000 locuitori AP 5/ PI 9.vi/ OS 5.1., respectiv două apeluri  pentru regiunile mai </w:t>
      </w:r>
      <w:proofErr w:type="spellStart"/>
      <w:r w:rsidR="007B11C8" w:rsidRPr="007B11C8">
        <w:rPr>
          <w:sz w:val="24"/>
        </w:rPr>
        <w:t>putin</w:t>
      </w:r>
      <w:proofErr w:type="spellEnd"/>
      <w:r w:rsidR="007B11C8" w:rsidRPr="007B11C8">
        <w:rPr>
          <w:sz w:val="24"/>
        </w:rPr>
        <w:t xml:space="preserve"> dezvoltate și două apeluri pentru regiunea </w:t>
      </w:r>
      <w:proofErr w:type="spellStart"/>
      <w:r w:rsidR="007B11C8" w:rsidRPr="007B11C8">
        <w:rPr>
          <w:sz w:val="24"/>
        </w:rPr>
        <w:t>Bucuresti</w:t>
      </w:r>
      <w:proofErr w:type="spellEnd"/>
      <w:r w:rsidR="007B11C8" w:rsidRPr="007B11C8">
        <w:rPr>
          <w:sz w:val="24"/>
        </w:rPr>
        <w:t xml:space="preserve">-Ilfov. </w:t>
      </w:r>
      <w:r w:rsidR="00DD5D70">
        <w:rPr>
          <w:sz w:val="24"/>
        </w:rPr>
        <w:t>I</w:t>
      </w:r>
      <w:r w:rsidR="007B11C8">
        <w:rPr>
          <w:sz w:val="24"/>
        </w:rPr>
        <w:t>n cadrul acestor apeluri</w:t>
      </w:r>
      <w:r w:rsidR="003F108F">
        <w:rPr>
          <w:sz w:val="24"/>
        </w:rPr>
        <w:t>, sprijinul financiar acordat î</w:t>
      </w:r>
      <w:r w:rsidR="00DD5D70">
        <w:rPr>
          <w:sz w:val="24"/>
        </w:rPr>
        <w:t>n cadrul proiectelor vizează</w:t>
      </w:r>
      <w:r w:rsidR="007B11C8">
        <w:rPr>
          <w:sz w:val="24"/>
        </w:rPr>
        <w:t xml:space="preserve"> </w:t>
      </w:r>
      <w:r w:rsidRPr="00F45A4E">
        <w:rPr>
          <w:sz w:val="24"/>
        </w:rPr>
        <w:t>înființarea/adaptarea GAL și elaborarea SDL în conformitate cu cerințele DLRC</w:t>
      </w:r>
      <w:r w:rsidR="00EE4444" w:rsidRPr="00F45A4E">
        <w:rPr>
          <w:sz w:val="24"/>
        </w:rPr>
        <w:t>.</w:t>
      </w:r>
      <w:r w:rsidRPr="00F45A4E">
        <w:rPr>
          <w:sz w:val="24"/>
        </w:rPr>
        <w:t xml:space="preserve"> </w:t>
      </w:r>
    </w:p>
    <w:p w:rsidR="00455F11" w:rsidRPr="00A95135" w:rsidRDefault="00645923" w:rsidP="001E4356">
      <w:pPr>
        <w:spacing w:after="0"/>
        <w:jc w:val="both"/>
        <w:rPr>
          <w:sz w:val="24"/>
        </w:rPr>
      </w:pPr>
      <w:r w:rsidRPr="00F45A4E">
        <w:rPr>
          <w:sz w:val="24"/>
        </w:rPr>
        <w:t xml:space="preserve">Elaborarea SDL </w:t>
      </w:r>
      <w:r w:rsidR="00DA16D9" w:rsidRPr="00F45A4E">
        <w:rPr>
          <w:sz w:val="24"/>
        </w:rPr>
        <w:t xml:space="preserve">poate fi realizată </w:t>
      </w:r>
      <w:r w:rsidR="00DA16D9" w:rsidRPr="00F45A4E">
        <w:rPr>
          <w:b/>
          <w:sz w:val="24"/>
        </w:rPr>
        <w:t>și fără sprijin pregătitor.</w:t>
      </w:r>
      <w:r w:rsidR="00DA16D9" w:rsidRPr="00F45A4E">
        <w:rPr>
          <w:sz w:val="24"/>
        </w:rPr>
        <w:t xml:space="preserve"> </w:t>
      </w:r>
      <w:r w:rsidRPr="00F45A4E">
        <w:rPr>
          <w:sz w:val="24"/>
        </w:rPr>
        <w:t xml:space="preserve">Cu toate acestea, </w:t>
      </w:r>
      <w:r w:rsidR="00DA16D9" w:rsidRPr="00F45A4E">
        <w:rPr>
          <w:sz w:val="24"/>
        </w:rPr>
        <w:t xml:space="preserve">Strategiile de Dezvoltare Locală </w:t>
      </w:r>
      <w:r w:rsidR="003B0D06" w:rsidRPr="00F45A4E">
        <w:rPr>
          <w:sz w:val="24"/>
        </w:rPr>
        <w:t xml:space="preserve">care vor fi </w:t>
      </w:r>
      <w:r w:rsidR="00DA16D9" w:rsidRPr="00F45A4E">
        <w:rPr>
          <w:sz w:val="24"/>
        </w:rPr>
        <w:t>depuse, în etapa a II-a</w:t>
      </w:r>
      <w:r w:rsidR="003104AF" w:rsidRPr="00F45A4E">
        <w:rPr>
          <w:sz w:val="24"/>
        </w:rPr>
        <w:t>,</w:t>
      </w:r>
      <w:r w:rsidR="004C64A0" w:rsidRPr="00F45A4E">
        <w:rPr>
          <w:sz w:val="24"/>
        </w:rPr>
        <w:t xml:space="preserve"> vizată de prezentul ghid,</w:t>
      </w:r>
      <w:r w:rsidR="003104AF" w:rsidRPr="00F45A4E">
        <w:rPr>
          <w:sz w:val="24"/>
        </w:rPr>
        <w:t xml:space="preserve"> </w:t>
      </w:r>
      <w:r w:rsidR="00DA16D9" w:rsidRPr="00F45A4E">
        <w:rPr>
          <w:sz w:val="24"/>
        </w:rPr>
        <w:t xml:space="preserve"> </w:t>
      </w:r>
      <w:r w:rsidRPr="00F45A4E">
        <w:rPr>
          <w:sz w:val="24"/>
        </w:rPr>
        <w:t xml:space="preserve">vor trebui să îndeplinească toate criteriile de conformitate și eligibilitate, în acord cu </w:t>
      </w:r>
      <w:r w:rsidR="003104AF" w:rsidRPr="00F45A4E">
        <w:rPr>
          <w:sz w:val="24"/>
        </w:rPr>
        <w:t>Modelul Cadru SDL (Anexa1) și Criteriile de evaluare și selecție SDL (Anexa 2</w:t>
      </w:r>
      <w:r w:rsidR="00DD5D70">
        <w:rPr>
          <w:sz w:val="24"/>
        </w:rPr>
        <w:t>)</w:t>
      </w:r>
    </w:p>
    <w:p w:rsidR="00BE6A25" w:rsidRPr="002A71BA" w:rsidRDefault="00BE6A25" w:rsidP="005C7AC9">
      <w:pPr>
        <w:pStyle w:val="Heading1"/>
        <w:numPr>
          <w:ilvl w:val="0"/>
          <w:numId w:val="72"/>
        </w:numPr>
        <w:spacing w:before="240" w:after="120"/>
        <w:ind w:left="283" w:hanging="357"/>
        <w:jc w:val="both"/>
        <w:rPr>
          <w:rFonts w:ascii="Trebuchet MS" w:eastAsia="Times New Roman" w:hAnsi="Trebuchet MS" w:cs="Times New Roman"/>
          <w:bCs w:val="0"/>
          <w:color w:val="002060"/>
          <w:sz w:val="26"/>
          <w:szCs w:val="26"/>
        </w:rPr>
      </w:pPr>
      <w:bookmarkStart w:id="3" w:name="_Toc485991237"/>
      <w:r w:rsidRPr="002A71BA">
        <w:rPr>
          <w:rFonts w:ascii="Trebuchet MS" w:eastAsia="Times New Roman" w:hAnsi="Trebuchet MS" w:cs="Times New Roman"/>
          <w:bCs w:val="0"/>
          <w:color w:val="002060"/>
          <w:sz w:val="26"/>
          <w:szCs w:val="26"/>
        </w:rPr>
        <w:t xml:space="preserve">Demersuri obligatorii </w:t>
      </w:r>
      <w:r w:rsidR="00EC44AC" w:rsidRPr="002A71BA">
        <w:rPr>
          <w:rFonts w:ascii="Trebuchet MS" w:eastAsia="Times New Roman" w:hAnsi="Trebuchet MS" w:cs="Times New Roman"/>
          <w:bCs w:val="0"/>
          <w:color w:val="002060"/>
          <w:sz w:val="26"/>
          <w:szCs w:val="26"/>
        </w:rPr>
        <w:t>la nivelul parteneriatului/GAL</w:t>
      </w:r>
      <w:r w:rsidR="00226E26">
        <w:rPr>
          <w:rStyle w:val="FootnoteReference"/>
          <w:rFonts w:ascii="Trebuchet MS" w:eastAsia="Times New Roman" w:hAnsi="Trebuchet MS" w:cs="Times New Roman"/>
          <w:bCs w:val="0"/>
          <w:color w:val="002060"/>
          <w:sz w:val="26"/>
          <w:szCs w:val="26"/>
        </w:rPr>
        <w:footnoteReference w:id="2"/>
      </w:r>
      <w:r w:rsidR="00EC44AC" w:rsidRPr="002A71BA">
        <w:rPr>
          <w:rFonts w:ascii="Trebuchet MS" w:eastAsia="Times New Roman" w:hAnsi="Trebuchet MS" w:cs="Times New Roman"/>
          <w:bCs w:val="0"/>
          <w:color w:val="002060"/>
          <w:sz w:val="26"/>
          <w:szCs w:val="26"/>
        </w:rPr>
        <w:t xml:space="preserve"> </w:t>
      </w:r>
      <w:r w:rsidRPr="002A71BA">
        <w:rPr>
          <w:rFonts w:ascii="Trebuchet MS" w:eastAsia="Times New Roman" w:hAnsi="Trebuchet MS" w:cs="Times New Roman"/>
          <w:bCs w:val="0"/>
          <w:color w:val="002060"/>
          <w:sz w:val="26"/>
          <w:szCs w:val="26"/>
        </w:rPr>
        <w:t>în vederea depunerii SDL</w:t>
      </w:r>
      <w:bookmarkEnd w:id="3"/>
    </w:p>
    <w:p w:rsidR="00BE6A25" w:rsidRPr="00DD27AA" w:rsidRDefault="00BE6A25" w:rsidP="001E4356">
      <w:pPr>
        <w:spacing w:after="0"/>
        <w:jc w:val="both"/>
        <w:rPr>
          <w:sz w:val="24"/>
        </w:rPr>
      </w:pPr>
      <w:r w:rsidRPr="00DD27AA">
        <w:rPr>
          <w:sz w:val="24"/>
        </w:rPr>
        <w:t xml:space="preserve">Pentru ca o SDL să poată fi depusă spre selecție pentru finanțare din FESI </w:t>
      </w:r>
      <w:r w:rsidR="00847D24">
        <w:rPr>
          <w:sz w:val="24"/>
        </w:rPr>
        <w:t>este necesară parcurgerea următoarelor acțiuni premergătoare</w:t>
      </w:r>
      <w:r w:rsidRPr="00DD27AA">
        <w:rPr>
          <w:sz w:val="24"/>
        </w:rPr>
        <w:t xml:space="preserve">: </w:t>
      </w:r>
    </w:p>
    <w:p w:rsidR="00A95135" w:rsidRDefault="0001398D" w:rsidP="00DD5D70">
      <w:pPr>
        <w:pStyle w:val="ListParagraph"/>
        <w:numPr>
          <w:ilvl w:val="0"/>
          <w:numId w:val="68"/>
        </w:numPr>
        <w:tabs>
          <w:tab w:val="left" w:pos="284"/>
        </w:tabs>
        <w:spacing w:before="60" w:after="0"/>
        <w:contextualSpacing w:val="0"/>
        <w:jc w:val="both"/>
        <w:rPr>
          <w:sz w:val="24"/>
        </w:rPr>
      </w:pPr>
      <w:r w:rsidRPr="00455F11">
        <w:rPr>
          <w:b/>
          <w:i/>
          <w:sz w:val="24"/>
        </w:rPr>
        <w:t xml:space="preserve">Înființarea </w:t>
      </w:r>
      <w:r w:rsidR="00264C31" w:rsidRPr="00455F11">
        <w:rPr>
          <w:b/>
          <w:i/>
          <w:sz w:val="24"/>
        </w:rPr>
        <w:t>noului GAL/</w:t>
      </w:r>
      <w:r w:rsidRPr="00455F11">
        <w:rPr>
          <w:b/>
          <w:i/>
          <w:sz w:val="24"/>
        </w:rPr>
        <w:t>adaptarea GAL deja înființat</w:t>
      </w:r>
      <w:r w:rsidRPr="0001398D">
        <w:rPr>
          <w:color w:val="244061" w:themeColor="accent1" w:themeShade="80"/>
          <w:lang w:eastAsia="en-GB"/>
        </w:rPr>
        <w:t xml:space="preserve"> </w:t>
      </w:r>
      <w:r w:rsidR="00397630">
        <w:rPr>
          <w:sz w:val="24"/>
        </w:rPr>
        <w:t>a</w:t>
      </w:r>
      <w:r w:rsidR="007120E4">
        <w:rPr>
          <w:sz w:val="24"/>
        </w:rPr>
        <w:t>stfel î</w:t>
      </w:r>
      <w:r w:rsidR="00397630">
        <w:rPr>
          <w:sz w:val="24"/>
        </w:rPr>
        <w:t xml:space="preserve">ncât să poată îndeplini cerințele pentru </w:t>
      </w:r>
      <w:r w:rsidRPr="0001398D">
        <w:rPr>
          <w:sz w:val="24"/>
        </w:rPr>
        <w:t>DLRC</w:t>
      </w:r>
      <w:r w:rsidR="00397630">
        <w:rPr>
          <w:sz w:val="24"/>
        </w:rPr>
        <w:t xml:space="preserve">, așa cum sunt precizate în </w:t>
      </w:r>
      <w:r w:rsidRPr="00353F00">
        <w:rPr>
          <w:color w:val="244061" w:themeColor="accent1" w:themeShade="80"/>
          <w:lang w:eastAsia="en-GB"/>
        </w:rPr>
        <w:t xml:space="preserve"> </w:t>
      </w:r>
      <w:r w:rsidR="00DD5D70" w:rsidRPr="00DD5D70">
        <w:rPr>
          <w:sz w:val="24"/>
        </w:rPr>
        <w:t xml:space="preserve">Regulamentul (UE) nr. 1303/2013 al Parlamentului European și al Consiliului </w:t>
      </w:r>
      <w:r w:rsidRPr="0001398D">
        <w:rPr>
          <w:sz w:val="24"/>
        </w:rPr>
        <w:t>(art. 33, 34</w:t>
      </w:r>
      <w:r w:rsidR="00397630">
        <w:rPr>
          <w:sz w:val="24"/>
        </w:rPr>
        <w:t>)</w:t>
      </w:r>
      <w:r w:rsidR="00A95135" w:rsidRPr="00A95135">
        <w:rPr>
          <w:sz w:val="24"/>
        </w:rPr>
        <w:t>:</w:t>
      </w:r>
    </w:p>
    <w:p w:rsidR="00F45A4E" w:rsidRDefault="00397630" w:rsidP="0001398D">
      <w:pPr>
        <w:pStyle w:val="ListParagraph"/>
        <w:numPr>
          <w:ilvl w:val="1"/>
          <w:numId w:val="68"/>
        </w:numPr>
        <w:tabs>
          <w:tab w:val="left" w:pos="284"/>
        </w:tabs>
        <w:spacing w:after="0"/>
        <w:ind w:left="993" w:hanging="284"/>
        <w:contextualSpacing w:val="0"/>
        <w:jc w:val="both"/>
        <w:rPr>
          <w:sz w:val="24"/>
        </w:rPr>
      </w:pPr>
      <w:r>
        <w:rPr>
          <w:sz w:val="24"/>
        </w:rPr>
        <w:t>O</w:t>
      </w:r>
      <w:r w:rsidR="00F45A4E" w:rsidRPr="00F45A4E">
        <w:rPr>
          <w:sz w:val="24"/>
        </w:rPr>
        <w:t>rganizarea juridică a GAL în conformitate cu prevederile OG nr. 26/2000 cu privire la asociații și fundații, aprobată prin Legea nr. 246/2005</w:t>
      </w:r>
      <w:r w:rsidR="0001398D" w:rsidRPr="0001398D">
        <w:t xml:space="preserve"> </w:t>
      </w:r>
      <w:r w:rsidR="0001398D" w:rsidRPr="0001398D">
        <w:rPr>
          <w:sz w:val="24"/>
        </w:rPr>
        <w:t>cu modificările și completările ulterioare.</w:t>
      </w:r>
    </w:p>
    <w:p w:rsidR="00DD2195" w:rsidRPr="00DD27AA" w:rsidRDefault="00DD2195" w:rsidP="00DD2195">
      <w:pPr>
        <w:pStyle w:val="ListParagraph"/>
        <w:numPr>
          <w:ilvl w:val="1"/>
          <w:numId w:val="68"/>
        </w:numPr>
        <w:tabs>
          <w:tab w:val="left" w:pos="284"/>
        </w:tabs>
        <w:spacing w:after="0"/>
        <w:ind w:left="993" w:hanging="284"/>
        <w:contextualSpacing w:val="0"/>
        <w:jc w:val="both"/>
        <w:rPr>
          <w:sz w:val="24"/>
        </w:rPr>
      </w:pPr>
      <w:r>
        <w:rPr>
          <w:sz w:val="24"/>
        </w:rPr>
        <w:t>A</w:t>
      </w:r>
      <w:r w:rsidRPr="00DD27AA">
        <w:rPr>
          <w:sz w:val="24"/>
        </w:rPr>
        <w:t>ngajarea cel puțin a unui manager și a unui asistent administrativ pentru a asigura funcțiile de bază, precum și organizarea unui sediu funcțional;</w:t>
      </w:r>
    </w:p>
    <w:p w:rsidR="00DD2195" w:rsidRPr="00264C31" w:rsidRDefault="00DD2195" w:rsidP="00DD2195">
      <w:pPr>
        <w:pStyle w:val="ListParagraph"/>
        <w:numPr>
          <w:ilvl w:val="1"/>
          <w:numId w:val="68"/>
        </w:numPr>
        <w:tabs>
          <w:tab w:val="left" w:pos="284"/>
        </w:tabs>
        <w:spacing w:after="0"/>
        <w:ind w:left="993" w:hanging="284"/>
        <w:contextualSpacing w:val="0"/>
        <w:jc w:val="both"/>
        <w:rPr>
          <w:sz w:val="24"/>
        </w:rPr>
      </w:pPr>
      <w:r w:rsidRPr="00264C31">
        <w:rPr>
          <w:sz w:val="24"/>
        </w:rPr>
        <w:t>Atragerea principalilor actori comunitari ca membri GAL</w:t>
      </w:r>
      <w:r w:rsidRPr="007743FA">
        <w:t xml:space="preserve"> </w:t>
      </w:r>
      <w:r w:rsidRPr="00264C31">
        <w:rPr>
          <w:sz w:val="24"/>
        </w:rPr>
        <w:t xml:space="preserve">(mobilizarea persoanelor din comunitățile marginalizate care manifestă o disponibilitate sporită în a se implica în procesul de rezolvare a problemelor comunității și a liderilor de pe teritoriul SDL, atât din zona/zonele marginalizate (ZUM), cât și din zona funcțională); </w:t>
      </w:r>
    </w:p>
    <w:p w:rsidR="00397630" w:rsidRDefault="00397630" w:rsidP="0001398D">
      <w:pPr>
        <w:pStyle w:val="ListParagraph"/>
        <w:numPr>
          <w:ilvl w:val="1"/>
          <w:numId w:val="68"/>
        </w:numPr>
        <w:tabs>
          <w:tab w:val="left" w:pos="284"/>
        </w:tabs>
        <w:spacing w:after="0"/>
        <w:ind w:left="993" w:hanging="284"/>
        <w:contextualSpacing w:val="0"/>
        <w:jc w:val="both"/>
        <w:rPr>
          <w:sz w:val="24"/>
        </w:rPr>
      </w:pPr>
      <w:r>
        <w:rPr>
          <w:sz w:val="24"/>
        </w:rPr>
        <w:t>Alegerea Comitetului Director GAL</w:t>
      </w:r>
    </w:p>
    <w:p w:rsidR="00264C31" w:rsidRDefault="00264C31" w:rsidP="00264C31">
      <w:pPr>
        <w:pStyle w:val="ListParagraph"/>
        <w:numPr>
          <w:ilvl w:val="1"/>
          <w:numId w:val="68"/>
        </w:numPr>
        <w:tabs>
          <w:tab w:val="left" w:pos="284"/>
        </w:tabs>
        <w:spacing w:after="0"/>
        <w:ind w:left="993" w:hanging="284"/>
        <w:contextualSpacing w:val="0"/>
        <w:jc w:val="both"/>
        <w:rPr>
          <w:sz w:val="24"/>
        </w:rPr>
      </w:pPr>
      <w:r>
        <w:rPr>
          <w:sz w:val="24"/>
        </w:rPr>
        <w:t>S</w:t>
      </w:r>
      <w:r w:rsidRPr="0076295E">
        <w:rPr>
          <w:sz w:val="24"/>
        </w:rPr>
        <w:t>tabilirea unei durate de existență a parteneriatului GAL cel puțin egală cu durata de implementare a SDL propuse;</w:t>
      </w:r>
    </w:p>
    <w:p w:rsidR="00264C31" w:rsidRDefault="00BE354F" w:rsidP="00264C31">
      <w:pPr>
        <w:pStyle w:val="ListParagraph"/>
        <w:numPr>
          <w:ilvl w:val="1"/>
          <w:numId w:val="68"/>
        </w:numPr>
        <w:tabs>
          <w:tab w:val="left" w:pos="284"/>
        </w:tabs>
        <w:spacing w:after="0"/>
        <w:ind w:left="993" w:hanging="284"/>
        <w:contextualSpacing w:val="0"/>
        <w:jc w:val="both"/>
        <w:rPr>
          <w:sz w:val="24"/>
        </w:rPr>
      </w:pPr>
      <w:r>
        <w:rPr>
          <w:sz w:val="24"/>
        </w:rPr>
        <w:lastRenderedPageBreak/>
        <w:t>O</w:t>
      </w:r>
      <w:r w:rsidRPr="00DD27AA">
        <w:rPr>
          <w:sz w:val="24"/>
        </w:rPr>
        <w:t>bținerea autorizației de la Autoritatea Națională pentru Protecț</w:t>
      </w:r>
      <w:r w:rsidR="00264C31">
        <w:rPr>
          <w:sz w:val="24"/>
        </w:rPr>
        <w:t>ia Datelor cu Caracter Personal.</w:t>
      </w:r>
    </w:p>
    <w:p w:rsidR="00C7049F" w:rsidRPr="00C7049F" w:rsidRDefault="00C7049F" w:rsidP="00C7049F">
      <w:pPr>
        <w:tabs>
          <w:tab w:val="left" w:pos="284"/>
        </w:tabs>
        <w:spacing w:after="0"/>
        <w:jc w:val="both"/>
        <w:rPr>
          <w:sz w:val="24"/>
        </w:rPr>
      </w:pPr>
    </w:p>
    <w:p w:rsidR="00264C31" w:rsidRPr="00264C31" w:rsidRDefault="00264C31" w:rsidP="00264C31">
      <w:pPr>
        <w:tabs>
          <w:tab w:val="left" w:pos="284"/>
        </w:tabs>
        <w:spacing w:after="0"/>
        <w:jc w:val="both"/>
        <w:rPr>
          <w:sz w:val="24"/>
        </w:rPr>
      </w:pPr>
      <w:r>
        <w:rPr>
          <w:rFonts w:eastAsia="MS Mincho" w:cs="Arial"/>
          <w:noProof/>
          <w:sz w:val="24"/>
          <w:lang w:eastAsia="ro-RO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27781D2" wp14:editId="3DBC0E63">
                <wp:simplePos x="0" y="0"/>
                <wp:positionH relativeFrom="margin">
                  <wp:align>left</wp:align>
                </wp:positionH>
                <wp:positionV relativeFrom="paragraph">
                  <wp:posOffset>-635</wp:posOffset>
                </wp:positionV>
                <wp:extent cx="5781675" cy="676275"/>
                <wp:effectExtent l="0" t="0" r="28575" b="28575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81675" cy="676275"/>
                        </a:xfrm>
                        <a:prstGeom prst="rect">
                          <a:avLst/>
                        </a:prstGeom>
                        <a:solidFill>
                          <a:srgbClr val="4F81BD">
                            <a:lumMod val="20000"/>
                            <a:lumOff val="80000"/>
                          </a:srgbClr>
                        </a:solidFill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264C31" w:rsidRPr="00397630" w:rsidRDefault="00397630" w:rsidP="00397630">
                            <w:pPr>
                              <w:jc w:val="both"/>
                              <w:rPr>
                                <w:i/>
                              </w:rPr>
                            </w:pPr>
                            <w:r w:rsidRPr="00397630">
                              <w:rPr>
                                <w:rFonts w:eastAsia="MS Mincho" w:cs="Arial"/>
                                <w:sz w:val="24"/>
                              </w:rPr>
                              <w:t>Atenție! Procesul de înființare/adaptare a GAL</w:t>
                            </w:r>
                            <w:r>
                              <w:rPr>
                                <w:rFonts w:eastAsia="MS Mincho" w:cs="Arial"/>
                                <w:sz w:val="24"/>
                              </w:rPr>
                              <w:t xml:space="preserve"> </w:t>
                            </w:r>
                            <w:r w:rsidRPr="00397630">
                              <w:rPr>
                                <w:rFonts w:eastAsia="MS Mincho" w:cs="Arial"/>
                                <w:sz w:val="24"/>
                              </w:rPr>
                              <w:t xml:space="preserve">va fi prezentat în cadrul SDL și demonstrat cu documente suport, conform cerințelor din cadrul </w:t>
                            </w:r>
                            <w:r w:rsidRPr="00397630">
                              <w:rPr>
                                <w:rFonts w:eastAsia="MS Mincho" w:cs="Arial"/>
                                <w:i/>
                                <w:sz w:val="24"/>
                              </w:rPr>
                              <w:t>Anexei 1 – Model cadru SDL – Cap. 4.1. Formarea și organizarea Grupului de Acțiune Locală (GAL)</w:t>
                            </w:r>
                            <w:r>
                              <w:rPr>
                                <w:rFonts w:eastAsia="MS Mincho" w:cs="Arial"/>
                                <w:i/>
                                <w:sz w:val="24"/>
                              </w:rPr>
                              <w:t>.</w:t>
                            </w:r>
                          </w:p>
                          <w:p w:rsidR="00397630" w:rsidRDefault="0039763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7781D2" id="Text Box 2" o:spid="_x0000_s1027" type="#_x0000_t202" style="position:absolute;left:0;text-align:left;margin-left:0;margin-top:-.05pt;width:455.25pt;height:53.25pt;z-index:25166233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" fillcolor="#dce6f2" strokecolor="#4f81bd" strokeweight="2pt">
                <v:textbox>
                  <w:txbxContent>
                    <w:p w:rsidR="00264C31" w:rsidRPr="00397630" w:rsidRDefault="00397630" w:rsidP="00397630">
                      <w:pPr>
                        <w:jc w:val="both"/>
                        <w:rPr>
                          <w:i/>
                        </w:rPr>
                      </w:pPr>
                      <w:r w:rsidRPr="00397630">
                        <w:rPr>
                          <w:rFonts w:eastAsia="MS Mincho" w:cs="Arial"/>
                          <w:sz w:val="24"/>
                        </w:rPr>
                        <w:t>Atenție! Procesul de înființare/adaptare a GAL</w:t>
                      </w:r>
                      <w:r>
                        <w:rPr>
                          <w:rFonts w:eastAsia="MS Mincho" w:cs="Arial"/>
                          <w:sz w:val="24"/>
                        </w:rPr>
                        <w:t xml:space="preserve"> </w:t>
                      </w:r>
                      <w:r w:rsidRPr="00397630">
                        <w:rPr>
                          <w:rFonts w:eastAsia="MS Mincho" w:cs="Arial"/>
                          <w:sz w:val="24"/>
                        </w:rPr>
                        <w:t xml:space="preserve">va fi prezentat în cadrul SDL și demonstrat cu documente suport, conform cerințelor din cadrul </w:t>
                      </w:r>
                      <w:r w:rsidRPr="00397630">
                        <w:rPr>
                          <w:rFonts w:eastAsia="MS Mincho" w:cs="Arial"/>
                          <w:i/>
                          <w:sz w:val="24"/>
                        </w:rPr>
                        <w:t>Anexei 1 – Model cadru SDL – Cap. 4.1. Formarea și organizarea Grupului de Acțiune Locală (GAL)</w:t>
                      </w:r>
                      <w:r>
                        <w:rPr>
                          <w:rFonts w:eastAsia="MS Mincho" w:cs="Arial"/>
                          <w:i/>
                          <w:sz w:val="24"/>
                        </w:rPr>
                        <w:t>.</w:t>
                      </w:r>
                    </w:p>
                    <w:p w:rsidR="00397630" w:rsidRDefault="00397630"/>
                  </w:txbxContent>
                </v:textbox>
                <w10:wrap anchorx="margin"/>
              </v:shape>
            </w:pict>
          </mc:Fallback>
        </mc:AlternateContent>
      </w:r>
    </w:p>
    <w:p w:rsidR="00C7049F" w:rsidRDefault="00C7049F" w:rsidP="00C7049F">
      <w:pPr>
        <w:pStyle w:val="ListParagraph"/>
        <w:tabs>
          <w:tab w:val="left" w:pos="284"/>
        </w:tabs>
        <w:spacing w:before="60" w:after="0"/>
        <w:ind w:left="284"/>
        <w:contextualSpacing w:val="0"/>
        <w:jc w:val="both"/>
        <w:rPr>
          <w:sz w:val="24"/>
        </w:rPr>
      </w:pPr>
    </w:p>
    <w:p w:rsidR="00C7049F" w:rsidRDefault="00C7049F" w:rsidP="00C7049F">
      <w:pPr>
        <w:pStyle w:val="ListParagraph"/>
        <w:tabs>
          <w:tab w:val="left" w:pos="284"/>
        </w:tabs>
        <w:spacing w:before="60" w:after="0"/>
        <w:ind w:left="284"/>
        <w:contextualSpacing w:val="0"/>
        <w:jc w:val="both"/>
        <w:rPr>
          <w:sz w:val="24"/>
        </w:rPr>
      </w:pPr>
    </w:p>
    <w:p w:rsidR="00B44BF1" w:rsidRPr="00DD2195" w:rsidRDefault="007120E4" w:rsidP="00455F11">
      <w:pPr>
        <w:pStyle w:val="ListParagraph"/>
        <w:numPr>
          <w:ilvl w:val="0"/>
          <w:numId w:val="68"/>
        </w:numPr>
        <w:tabs>
          <w:tab w:val="left" w:pos="284"/>
        </w:tabs>
        <w:spacing w:before="240" w:after="0"/>
        <w:ind w:left="284" w:hanging="284"/>
        <w:contextualSpacing w:val="0"/>
        <w:jc w:val="both"/>
        <w:rPr>
          <w:sz w:val="24"/>
        </w:rPr>
      </w:pPr>
      <w:r>
        <w:rPr>
          <w:sz w:val="24"/>
        </w:rPr>
        <w:t xml:space="preserve">Realizarea unui </w:t>
      </w:r>
      <w:r w:rsidRPr="00455F11">
        <w:rPr>
          <w:b/>
          <w:i/>
          <w:sz w:val="24"/>
        </w:rPr>
        <w:t>S</w:t>
      </w:r>
      <w:r w:rsidR="00A95135" w:rsidRPr="00455F11">
        <w:rPr>
          <w:b/>
          <w:i/>
          <w:sz w:val="24"/>
        </w:rPr>
        <w:t>tudiu de referință</w:t>
      </w:r>
      <w:r w:rsidR="004C7EC4" w:rsidRPr="00455F11">
        <w:rPr>
          <w:b/>
          <w:i/>
          <w:sz w:val="24"/>
        </w:rPr>
        <w:t xml:space="preserve"> la nivelul teritoriului SDL</w:t>
      </w:r>
      <w:r w:rsidR="004C7EC4">
        <w:rPr>
          <w:sz w:val="24"/>
        </w:rPr>
        <w:t xml:space="preserve"> (</w:t>
      </w:r>
      <w:r w:rsidR="00376A18">
        <w:rPr>
          <w:sz w:val="24"/>
        </w:rPr>
        <w:t xml:space="preserve">care să cuprindă și </w:t>
      </w:r>
      <w:r w:rsidR="004C7EC4">
        <w:rPr>
          <w:sz w:val="24"/>
        </w:rPr>
        <w:t xml:space="preserve"> </w:t>
      </w:r>
      <w:r>
        <w:rPr>
          <w:sz w:val="24"/>
        </w:rPr>
        <w:t xml:space="preserve">o </w:t>
      </w:r>
      <w:r w:rsidR="004C7EC4">
        <w:rPr>
          <w:sz w:val="24"/>
        </w:rPr>
        <w:t>baz</w:t>
      </w:r>
      <w:r>
        <w:rPr>
          <w:sz w:val="24"/>
        </w:rPr>
        <w:t>ă</w:t>
      </w:r>
      <w:r w:rsidR="004C7EC4">
        <w:rPr>
          <w:sz w:val="24"/>
        </w:rPr>
        <w:t xml:space="preserve"> de </w:t>
      </w:r>
      <w:proofErr w:type="spellStart"/>
      <w:r w:rsidR="004C7EC4">
        <w:rPr>
          <w:sz w:val="24"/>
        </w:rPr>
        <w:t>microdate</w:t>
      </w:r>
      <w:proofErr w:type="spellEnd"/>
      <w:r w:rsidR="004C7EC4">
        <w:rPr>
          <w:sz w:val="24"/>
        </w:rPr>
        <w:t xml:space="preserve"> </w:t>
      </w:r>
      <w:r w:rsidR="00B44BF1">
        <w:rPr>
          <w:sz w:val="24"/>
        </w:rPr>
        <w:t>primare</w:t>
      </w:r>
      <w:r w:rsidR="00376A18">
        <w:rPr>
          <w:sz w:val="24"/>
        </w:rPr>
        <w:t>, în format</w:t>
      </w:r>
      <w:r w:rsidR="00B44BF1">
        <w:rPr>
          <w:sz w:val="24"/>
        </w:rPr>
        <w:t xml:space="preserve"> </w:t>
      </w:r>
      <w:proofErr w:type="spellStart"/>
      <w:r w:rsidR="00B44BF1">
        <w:rPr>
          <w:sz w:val="24"/>
        </w:rPr>
        <w:t>xls</w:t>
      </w:r>
      <w:proofErr w:type="spellEnd"/>
      <w:r w:rsidR="00455F11">
        <w:rPr>
          <w:rStyle w:val="FootnoteReference"/>
          <w:sz w:val="24"/>
        </w:rPr>
        <w:footnoteReference w:id="3"/>
      </w:r>
      <w:r>
        <w:rPr>
          <w:sz w:val="24"/>
        </w:rPr>
        <w:t>)</w:t>
      </w:r>
      <w:r w:rsidR="00B44BF1">
        <w:rPr>
          <w:sz w:val="24"/>
        </w:rPr>
        <w:t>, î</w:t>
      </w:r>
      <w:r w:rsidR="004C7EC4">
        <w:rPr>
          <w:sz w:val="24"/>
        </w:rPr>
        <w:t>n vederea identificării</w:t>
      </w:r>
      <w:r w:rsidR="00B44BF1">
        <w:rPr>
          <w:sz w:val="24"/>
        </w:rPr>
        <w:t xml:space="preserve"> </w:t>
      </w:r>
      <w:r w:rsidR="00583571">
        <w:rPr>
          <w:sz w:val="24"/>
        </w:rPr>
        <w:t xml:space="preserve">si </w:t>
      </w:r>
      <w:proofErr w:type="spellStart"/>
      <w:r w:rsidR="00583571">
        <w:rPr>
          <w:sz w:val="24"/>
        </w:rPr>
        <w:t>validarii</w:t>
      </w:r>
      <w:proofErr w:type="spellEnd"/>
      <w:r w:rsidR="00583571">
        <w:rPr>
          <w:sz w:val="24"/>
        </w:rPr>
        <w:t xml:space="preserve"> </w:t>
      </w:r>
      <w:r>
        <w:rPr>
          <w:sz w:val="24"/>
        </w:rPr>
        <w:t>zonelor urbane marginalizate</w:t>
      </w:r>
      <w:r w:rsidR="00C7049F">
        <w:rPr>
          <w:sz w:val="24"/>
        </w:rPr>
        <w:t>,</w:t>
      </w:r>
      <w:r w:rsidR="00C7049F" w:rsidRPr="00C7049F">
        <w:rPr>
          <w:sz w:val="24"/>
        </w:rPr>
        <w:t xml:space="preserve"> </w:t>
      </w:r>
      <w:r w:rsidR="00C7049F">
        <w:rPr>
          <w:sz w:val="24"/>
        </w:rPr>
        <w:t xml:space="preserve">conform criteriilor din </w:t>
      </w:r>
      <w:r w:rsidR="00C7049F">
        <w:rPr>
          <w:i/>
          <w:sz w:val="24"/>
        </w:rPr>
        <w:t>Atlasul</w:t>
      </w:r>
      <w:r w:rsidR="00C7049F" w:rsidRPr="00BD42D8">
        <w:rPr>
          <w:i/>
          <w:sz w:val="24"/>
        </w:rPr>
        <w:t xml:space="preserve"> Zonelor Urbane Marginalizate</w:t>
      </w:r>
      <w:r w:rsidR="00C7049F">
        <w:rPr>
          <w:i/>
          <w:sz w:val="24"/>
        </w:rPr>
        <w:t>.</w:t>
      </w:r>
    </w:p>
    <w:p w:rsidR="00DD2195" w:rsidRDefault="00DD2195" w:rsidP="00DD2195">
      <w:pPr>
        <w:tabs>
          <w:tab w:val="left" w:pos="284"/>
        </w:tabs>
        <w:spacing w:before="60" w:after="0"/>
        <w:jc w:val="both"/>
        <w:rPr>
          <w:sz w:val="24"/>
        </w:rPr>
      </w:pPr>
      <w:r w:rsidRPr="00DD2195">
        <w:rPr>
          <w:rFonts w:eastAsia="MS Mincho" w:cs="Arial"/>
          <w:noProof/>
          <w:sz w:val="24"/>
          <w:lang w:eastAsia="ro-RO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616EC3C" wp14:editId="58717F41">
                <wp:simplePos x="0" y="0"/>
                <wp:positionH relativeFrom="margin">
                  <wp:align>left</wp:align>
                </wp:positionH>
                <wp:positionV relativeFrom="paragraph">
                  <wp:posOffset>50800</wp:posOffset>
                </wp:positionV>
                <wp:extent cx="5781675" cy="561975"/>
                <wp:effectExtent l="0" t="0" r="28575" b="28575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81675" cy="561975"/>
                        </a:xfrm>
                        <a:prstGeom prst="rect">
                          <a:avLst/>
                        </a:prstGeom>
                        <a:solidFill>
                          <a:srgbClr val="4F81BD">
                            <a:lumMod val="20000"/>
                            <a:lumOff val="80000"/>
                          </a:srgbClr>
                        </a:solidFill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7120E4" w:rsidRPr="007120E4" w:rsidRDefault="007120E4" w:rsidP="007120E4">
                            <w:pPr>
                              <w:tabs>
                                <w:tab w:val="left" w:pos="284"/>
                              </w:tabs>
                              <w:spacing w:before="60" w:after="0"/>
                              <w:jc w:val="both"/>
                              <w:rPr>
                                <w:i/>
                                <w:sz w:val="24"/>
                              </w:rPr>
                            </w:pPr>
                            <w:r w:rsidRPr="007120E4">
                              <w:rPr>
                                <w:rFonts w:eastAsia="MS Mincho" w:cs="Arial"/>
                                <w:sz w:val="24"/>
                              </w:rPr>
                              <w:t xml:space="preserve">Detalii privind Studiul de referință sunt prezentate în </w:t>
                            </w:r>
                            <w:r w:rsidRPr="007120E4">
                              <w:rPr>
                                <w:rFonts w:eastAsia="MS Mincho" w:cs="Arial"/>
                                <w:i/>
                                <w:sz w:val="24"/>
                              </w:rPr>
                              <w:t>Anexa</w:t>
                            </w:r>
                            <w:r w:rsidR="00DD2195" w:rsidRPr="007120E4">
                              <w:rPr>
                                <w:rFonts w:eastAsia="MS Mincho" w:cs="Arial"/>
                                <w:i/>
                                <w:sz w:val="24"/>
                              </w:rPr>
                              <w:t xml:space="preserve"> 1 – Model cadru SDL – Cap. </w:t>
                            </w:r>
                            <w:r w:rsidRPr="007120E4">
                              <w:rPr>
                                <w:i/>
                                <w:sz w:val="24"/>
                              </w:rPr>
                              <w:t xml:space="preserve">2.2.1.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16EC3C" id="Text Box 6" o:spid="_x0000_s1028" type="#_x0000_t202" style="position:absolute;left:0;text-align:left;margin-left:0;margin-top:4pt;width:455.25pt;height:44.25pt;z-index:25166438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" fillcolor="#dce6f2" strokecolor="#4f81bd" strokeweight="2pt">
                <v:textbox>
                  <w:txbxContent>
                    <w:p w:rsidR="007120E4" w:rsidRPr="007120E4" w:rsidRDefault="007120E4" w:rsidP="007120E4">
                      <w:pPr>
                        <w:tabs>
                          <w:tab w:val="left" w:pos="284"/>
                        </w:tabs>
                        <w:spacing w:before="60" w:after="0"/>
                        <w:jc w:val="both"/>
                        <w:rPr>
                          <w:i/>
                          <w:sz w:val="24"/>
                        </w:rPr>
                      </w:pPr>
                      <w:r w:rsidRPr="007120E4">
                        <w:rPr>
                          <w:rFonts w:eastAsia="MS Mincho" w:cs="Arial"/>
                          <w:sz w:val="24"/>
                        </w:rPr>
                        <w:t xml:space="preserve">Detalii privind Studiul de referință sunt prezentate în </w:t>
                      </w:r>
                      <w:r w:rsidRPr="007120E4">
                        <w:rPr>
                          <w:rFonts w:eastAsia="MS Mincho" w:cs="Arial"/>
                          <w:i/>
                          <w:sz w:val="24"/>
                        </w:rPr>
                        <w:t>Anexa</w:t>
                      </w:r>
                      <w:r w:rsidR="00DD2195" w:rsidRPr="007120E4">
                        <w:rPr>
                          <w:rFonts w:eastAsia="MS Mincho" w:cs="Arial"/>
                          <w:i/>
                          <w:sz w:val="24"/>
                        </w:rPr>
                        <w:t xml:space="preserve"> 1 – Model cadru SDL – Cap. </w:t>
                      </w:r>
                      <w:r w:rsidRPr="007120E4">
                        <w:rPr>
                          <w:i/>
                          <w:sz w:val="24"/>
                        </w:rPr>
                        <w:t xml:space="preserve">2.2.1.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DD2195" w:rsidRDefault="00DD2195" w:rsidP="00DD2195">
      <w:pPr>
        <w:tabs>
          <w:tab w:val="left" w:pos="284"/>
        </w:tabs>
        <w:spacing w:before="60" w:after="0"/>
        <w:jc w:val="both"/>
        <w:rPr>
          <w:sz w:val="24"/>
        </w:rPr>
      </w:pPr>
    </w:p>
    <w:p w:rsidR="00455F11" w:rsidRDefault="00455F11" w:rsidP="00DD2195">
      <w:pPr>
        <w:tabs>
          <w:tab w:val="left" w:pos="284"/>
        </w:tabs>
        <w:spacing w:before="60" w:after="0"/>
        <w:jc w:val="both"/>
        <w:rPr>
          <w:sz w:val="24"/>
        </w:rPr>
      </w:pPr>
    </w:p>
    <w:p w:rsidR="00B771C9" w:rsidRDefault="00583571" w:rsidP="00583571">
      <w:pPr>
        <w:pStyle w:val="ListParagraph"/>
        <w:numPr>
          <w:ilvl w:val="0"/>
          <w:numId w:val="68"/>
        </w:numPr>
        <w:tabs>
          <w:tab w:val="left" w:pos="284"/>
        </w:tabs>
        <w:spacing w:before="60" w:after="0"/>
        <w:contextualSpacing w:val="0"/>
        <w:jc w:val="both"/>
        <w:rPr>
          <w:sz w:val="24"/>
        </w:rPr>
      </w:pPr>
      <w:r>
        <w:rPr>
          <w:b/>
          <w:i/>
          <w:sz w:val="24"/>
        </w:rPr>
        <w:t>D</w:t>
      </w:r>
      <w:r w:rsidR="00B771C9" w:rsidRPr="00455F11">
        <w:rPr>
          <w:b/>
          <w:i/>
          <w:sz w:val="24"/>
        </w:rPr>
        <w:t xml:space="preserve">eclararea </w:t>
      </w:r>
      <w:r w:rsidR="00A95135" w:rsidRPr="00455F11">
        <w:rPr>
          <w:b/>
          <w:i/>
          <w:sz w:val="24"/>
        </w:rPr>
        <w:t>zon</w:t>
      </w:r>
      <w:r w:rsidR="00E32D4F" w:rsidRPr="00455F11">
        <w:rPr>
          <w:b/>
          <w:i/>
          <w:sz w:val="24"/>
        </w:rPr>
        <w:t>ei</w:t>
      </w:r>
      <w:r w:rsidRPr="00583571">
        <w:t xml:space="preserve"> </w:t>
      </w:r>
      <w:r>
        <w:rPr>
          <w:b/>
          <w:i/>
          <w:sz w:val="24"/>
        </w:rPr>
        <w:t>urbane marginalizate</w:t>
      </w:r>
      <w:r w:rsidRPr="00583571">
        <w:rPr>
          <w:b/>
          <w:i/>
          <w:sz w:val="24"/>
        </w:rPr>
        <w:t xml:space="preserve"> /</w:t>
      </w:r>
      <w:r>
        <w:rPr>
          <w:b/>
          <w:i/>
          <w:sz w:val="24"/>
        </w:rPr>
        <w:t xml:space="preserve"> </w:t>
      </w:r>
      <w:r w:rsidRPr="00583571">
        <w:rPr>
          <w:b/>
          <w:i/>
          <w:sz w:val="24"/>
        </w:rPr>
        <w:t xml:space="preserve">zonelor urbane marginalizate </w:t>
      </w:r>
      <w:r w:rsidR="005F5BD6" w:rsidRPr="00455F11">
        <w:rPr>
          <w:b/>
          <w:i/>
          <w:sz w:val="24"/>
        </w:rPr>
        <w:t xml:space="preserve">pentru care </w:t>
      </w:r>
      <w:r w:rsidR="004C64A0" w:rsidRPr="00455F11">
        <w:rPr>
          <w:b/>
          <w:i/>
          <w:sz w:val="24"/>
        </w:rPr>
        <w:t>este</w:t>
      </w:r>
      <w:r w:rsidR="005F5BD6" w:rsidRPr="00455F11">
        <w:rPr>
          <w:b/>
          <w:i/>
          <w:sz w:val="24"/>
        </w:rPr>
        <w:t xml:space="preserve"> dezvoltată strategi</w:t>
      </w:r>
      <w:r w:rsidR="004C64A0" w:rsidRPr="00455F11">
        <w:rPr>
          <w:b/>
          <w:i/>
          <w:sz w:val="24"/>
        </w:rPr>
        <w:t>a</w:t>
      </w:r>
      <w:r w:rsidR="005F5BD6" w:rsidRPr="00455F11">
        <w:rPr>
          <w:b/>
          <w:i/>
          <w:sz w:val="24"/>
        </w:rPr>
        <w:t xml:space="preserve"> DLRC</w:t>
      </w:r>
      <w:r w:rsidR="00E32D4F" w:rsidRPr="00455F11">
        <w:rPr>
          <w:b/>
          <w:i/>
          <w:sz w:val="24"/>
        </w:rPr>
        <w:t xml:space="preserve"> și stabilirea teritoriului SDL</w:t>
      </w:r>
      <w:r w:rsidR="00C4190D" w:rsidRPr="00455F11">
        <w:rPr>
          <w:sz w:val="24"/>
        </w:rPr>
        <w:t xml:space="preserve"> prin decizie a Comitetului Director</w:t>
      </w:r>
      <w:r w:rsidR="00B771C9" w:rsidRPr="00455F11">
        <w:rPr>
          <w:sz w:val="24"/>
        </w:rPr>
        <w:t xml:space="preserve"> al GAL</w:t>
      </w:r>
      <w:r w:rsidR="00FF1196">
        <w:rPr>
          <w:rStyle w:val="FootnoteReference"/>
          <w:sz w:val="24"/>
        </w:rPr>
        <w:footnoteReference w:id="4"/>
      </w:r>
      <w:r w:rsidR="005F5BD6" w:rsidRPr="00562D5A">
        <w:rPr>
          <w:sz w:val="24"/>
        </w:rPr>
        <w:t>;</w:t>
      </w:r>
    </w:p>
    <w:p w:rsidR="00C7049F" w:rsidRDefault="00C7049F" w:rsidP="00C7049F">
      <w:pPr>
        <w:pStyle w:val="ListParagraph"/>
        <w:tabs>
          <w:tab w:val="left" w:pos="284"/>
        </w:tabs>
        <w:spacing w:before="60" w:after="0"/>
        <w:ind w:left="283"/>
        <w:contextualSpacing w:val="0"/>
        <w:jc w:val="both"/>
        <w:rPr>
          <w:sz w:val="24"/>
        </w:rPr>
      </w:pPr>
      <w:r w:rsidRPr="00C7049F">
        <w:rPr>
          <w:rFonts w:eastAsia="MS Mincho" w:cs="Arial"/>
          <w:noProof/>
          <w:sz w:val="24"/>
          <w:lang w:eastAsia="ro-RO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CE93083" wp14:editId="18F70C2D">
                <wp:simplePos x="0" y="0"/>
                <wp:positionH relativeFrom="margin">
                  <wp:align>left</wp:align>
                </wp:positionH>
                <wp:positionV relativeFrom="paragraph">
                  <wp:posOffset>3811</wp:posOffset>
                </wp:positionV>
                <wp:extent cx="5781675" cy="552450"/>
                <wp:effectExtent l="0" t="0" r="28575" b="1905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81675" cy="552450"/>
                        </a:xfrm>
                        <a:prstGeom prst="rect">
                          <a:avLst/>
                        </a:prstGeom>
                        <a:solidFill>
                          <a:srgbClr val="4F81BD">
                            <a:lumMod val="20000"/>
                            <a:lumOff val="80000"/>
                          </a:srgbClr>
                        </a:solidFill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C7049F" w:rsidRPr="007120E4" w:rsidRDefault="00C7049F" w:rsidP="00C7049F">
                            <w:pPr>
                              <w:tabs>
                                <w:tab w:val="left" w:pos="284"/>
                              </w:tabs>
                              <w:spacing w:before="60" w:after="0"/>
                              <w:jc w:val="both"/>
                              <w:rPr>
                                <w:i/>
                                <w:sz w:val="24"/>
                              </w:rPr>
                            </w:pPr>
                            <w:r w:rsidRPr="007120E4">
                              <w:rPr>
                                <w:rFonts w:eastAsia="MS Mincho" w:cs="Arial"/>
                                <w:sz w:val="24"/>
                              </w:rPr>
                              <w:t xml:space="preserve">Detalii privind </w:t>
                            </w:r>
                            <w:r>
                              <w:rPr>
                                <w:rFonts w:eastAsia="MS Mincho" w:cs="Arial"/>
                                <w:sz w:val="24"/>
                              </w:rPr>
                              <w:t xml:space="preserve">validarea și declararea </w:t>
                            </w:r>
                            <w:r w:rsidR="00583571" w:rsidRPr="00583571">
                              <w:rPr>
                                <w:sz w:val="24"/>
                              </w:rPr>
                              <w:t xml:space="preserve">zonei urbane marginalizate / zonelor urbane marginalizate </w:t>
                            </w:r>
                            <w:r>
                              <w:rPr>
                                <w:sz w:val="24"/>
                              </w:rPr>
                              <w:t xml:space="preserve">sunt prezentate </w:t>
                            </w:r>
                            <w:r w:rsidRPr="007120E4">
                              <w:rPr>
                                <w:rFonts w:eastAsia="MS Mincho" w:cs="Arial"/>
                                <w:sz w:val="24"/>
                              </w:rPr>
                              <w:t xml:space="preserve">în </w:t>
                            </w:r>
                            <w:r w:rsidRPr="007120E4">
                              <w:rPr>
                                <w:rFonts w:eastAsia="MS Mincho" w:cs="Arial"/>
                                <w:i/>
                                <w:sz w:val="24"/>
                              </w:rPr>
                              <w:t xml:space="preserve">Anexa 1 – Model cadru SDL – Cap. </w:t>
                            </w:r>
                            <w:r>
                              <w:rPr>
                                <w:i/>
                                <w:sz w:val="24"/>
                              </w:rPr>
                              <w:t>2.2.2</w:t>
                            </w:r>
                            <w:r w:rsidRPr="007120E4">
                              <w:rPr>
                                <w:i/>
                                <w:sz w:val="24"/>
                              </w:rPr>
                              <w:t xml:space="preserve">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E93083" id="Text Box 7" o:spid="_x0000_s1029" type="#_x0000_t202" style="position:absolute;left:0;text-align:left;margin-left:0;margin-top:.3pt;width:455.25pt;height:43.5pt;z-index:25166643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" fillcolor="#dce6f2" strokecolor="#4f81bd" strokeweight="2pt">
                <v:textbox>
                  <w:txbxContent>
                    <w:p w:rsidR="00C7049F" w:rsidRPr="007120E4" w:rsidRDefault="00C7049F" w:rsidP="00C7049F">
                      <w:pPr>
                        <w:tabs>
                          <w:tab w:val="left" w:pos="284"/>
                        </w:tabs>
                        <w:spacing w:before="60" w:after="0"/>
                        <w:jc w:val="both"/>
                        <w:rPr>
                          <w:i/>
                          <w:sz w:val="24"/>
                        </w:rPr>
                      </w:pPr>
                      <w:r w:rsidRPr="007120E4">
                        <w:rPr>
                          <w:rFonts w:eastAsia="MS Mincho" w:cs="Arial"/>
                          <w:sz w:val="24"/>
                        </w:rPr>
                        <w:t xml:space="preserve">Detalii privind </w:t>
                      </w:r>
                      <w:r>
                        <w:rPr>
                          <w:rFonts w:eastAsia="MS Mincho" w:cs="Arial"/>
                          <w:sz w:val="24"/>
                        </w:rPr>
                        <w:t xml:space="preserve">validarea și declararea </w:t>
                      </w:r>
                      <w:r w:rsidR="00583571" w:rsidRPr="00583571">
                        <w:rPr>
                          <w:sz w:val="24"/>
                        </w:rPr>
                        <w:t xml:space="preserve">zonei urbane marginalizate / zonelor urbane marginalizate </w:t>
                      </w:r>
                      <w:r>
                        <w:rPr>
                          <w:sz w:val="24"/>
                        </w:rPr>
                        <w:t xml:space="preserve">sunt prezentate </w:t>
                      </w:r>
                      <w:r w:rsidRPr="007120E4">
                        <w:rPr>
                          <w:rFonts w:eastAsia="MS Mincho" w:cs="Arial"/>
                          <w:sz w:val="24"/>
                        </w:rPr>
                        <w:t xml:space="preserve">în </w:t>
                      </w:r>
                      <w:r w:rsidRPr="007120E4">
                        <w:rPr>
                          <w:rFonts w:eastAsia="MS Mincho" w:cs="Arial"/>
                          <w:i/>
                          <w:sz w:val="24"/>
                        </w:rPr>
                        <w:t xml:space="preserve">Anexa 1 – Model cadru SDL – Cap. </w:t>
                      </w:r>
                      <w:r>
                        <w:rPr>
                          <w:i/>
                          <w:sz w:val="24"/>
                        </w:rPr>
                        <w:t>2.2.2</w:t>
                      </w:r>
                      <w:r w:rsidRPr="007120E4">
                        <w:rPr>
                          <w:i/>
                          <w:sz w:val="24"/>
                        </w:rPr>
                        <w:t xml:space="preserve">.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C7049F" w:rsidRDefault="00C7049F" w:rsidP="00C7049F">
      <w:pPr>
        <w:pStyle w:val="ListParagraph"/>
        <w:tabs>
          <w:tab w:val="left" w:pos="284"/>
        </w:tabs>
        <w:spacing w:before="60" w:after="0"/>
        <w:ind w:left="283"/>
        <w:contextualSpacing w:val="0"/>
        <w:jc w:val="both"/>
        <w:rPr>
          <w:sz w:val="24"/>
        </w:rPr>
      </w:pPr>
    </w:p>
    <w:p w:rsidR="00C7049F" w:rsidRDefault="00C7049F" w:rsidP="00C7049F">
      <w:pPr>
        <w:pStyle w:val="ListParagraph"/>
        <w:tabs>
          <w:tab w:val="left" w:pos="284"/>
        </w:tabs>
        <w:spacing w:before="60" w:after="0"/>
        <w:ind w:left="283"/>
        <w:contextualSpacing w:val="0"/>
        <w:jc w:val="both"/>
        <w:rPr>
          <w:sz w:val="24"/>
        </w:rPr>
      </w:pPr>
    </w:p>
    <w:p w:rsidR="00A95135" w:rsidRDefault="005F5BD6" w:rsidP="00455F11">
      <w:pPr>
        <w:pStyle w:val="ListParagraph"/>
        <w:numPr>
          <w:ilvl w:val="0"/>
          <w:numId w:val="68"/>
        </w:numPr>
        <w:tabs>
          <w:tab w:val="left" w:pos="284"/>
        </w:tabs>
        <w:spacing w:after="0"/>
        <w:ind w:left="284" w:hanging="284"/>
        <w:contextualSpacing w:val="0"/>
        <w:jc w:val="both"/>
        <w:rPr>
          <w:sz w:val="24"/>
        </w:rPr>
      </w:pPr>
      <w:r w:rsidRPr="00455F11">
        <w:rPr>
          <w:b/>
          <w:i/>
          <w:sz w:val="24"/>
        </w:rPr>
        <w:t>Mobilizarea comunității marginalizate</w:t>
      </w:r>
      <w:r w:rsidRPr="00BD42D8">
        <w:rPr>
          <w:sz w:val="24"/>
        </w:rPr>
        <w:t>:</w:t>
      </w:r>
    </w:p>
    <w:p w:rsidR="005F5BD6" w:rsidRPr="00A95135" w:rsidRDefault="005F5BD6" w:rsidP="008819FB">
      <w:pPr>
        <w:pStyle w:val="ListParagraph"/>
        <w:numPr>
          <w:ilvl w:val="1"/>
          <w:numId w:val="68"/>
        </w:numPr>
        <w:tabs>
          <w:tab w:val="left" w:pos="284"/>
        </w:tabs>
        <w:spacing w:after="0"/>
        <w:ind w:left="993" w:hanging="284"/>
        <w:contextualSpacing w:val="0"/>
        <w:jc w:val="both"/>
        <w:rPr>
          <w:sz w:val="24"/>
        </w:rPr>
      </w:pPr>
      <w:r w:rsidRPr="00A95135">
        <w:rPr>
          <w:sz w:val="24"/>
        </w:rPr>
        <w:t>Angajarea de facilitatori (</w:t>
      </w:r>
      <w:r w:rsidR="005C7AC9">
        <w:rPr>
          <w:sz w:val="24"/>
        </w:rPr>
        <w:t>specialist, ONG sau companie</w:t>
      </w:r>
      <w:r w:rsidRPr="00A95135">
        <w:rPr>
          <w:sz w:val="24"/>
        </w:rPr>
        <w:t>) pentru mobilizarea și activarea comunităților urbane marginalizate</w:t>
      </w:r>
      <w:r w:rsidR="005C7AC9">
        <w:rPr>
          <w:sz w:val="24"/>
        </w:rPr>
        <w:t>;</w:t>
      </w:r>
      <w:r w:rsidRPr="00A95135">
        <w:rPr>
          <w:sz w:val="24"/>
        </w:rPr>
        <w:t xml:space="preserve"> </w:t>
      </w:r>
    </w:p>
    <w:p w:rsidR="005F5BD6" w:rsidRPr="00BD42D8" w:rsidRDefault="005F5BD6" w:rsidP="00455F11">
      <w:pPr>
        <w:pStyle w:val="ListParagraph"/>
        <w:numPr>
          <w:ilvl w:val="0"/>
          <w:numId w:val="68"/>
        </w:numPr>
        <w:tabs>
          <w:tab w:val="left" w:pos="284"/>
        </w:tabs>
        <w:spacing w:before="120" w:after="0"/>
        <w:ind w:left="284" w:hanging="284"/>
        <w:contextualSpacing w:val="0"/>
        <w:jc w:val="both"/>
        <w:rPr>
          <w:sz w:val="24"/>
        </w:rPr>
      </w:pPr>
      <w:r w:rsidRPr="00455F11">
        <w:rPr>
          <w:b/>
          <w:i/>
          <w:sz w:val="24"/>
        </w:rPr>
        <w:t xml:space="preserve">Consultarea actorilor </w:t>
      </w:r>
      <w:r w:rsidR="007052CA" w:rsidRPr="00455F11">
        <w:rPr>
          <w:b/>
          <w:i/>
          <w:sz w:val="24"/>
        </w:rPr>
        <w:t>locali</w:t>
      </w:r>
      <w:r w:rsidR="007052CA">
        <w:rPr>
          <w:sz w:val="24"/>
        </w:rPr>
        <w:t xml:space="preserve"> </w:t>
      </w:r>
      <w:r w:rsidRPr="00BD42D8">
        <w:rPr>
          <w:sz w:val="24"/>
        </w:rPr>
        <w:t xml:space="preserve">în vederea elaborării strategiei: </w:t>
      </w:r>
    </w:p>
    <w:p w:rsidR="005F5BD6" w:rsidRPr="00BD42D8" w:rsidRDefault="00176E48" w:rsidP="008819FB">
      <w:pPr>
        <w:pStyle w:val="ListParagraph"/>
        <w:numPr>
          <w:ilvl w:val="1"/>
          <w:numId w:val="68"/>
        </w:numPr>
        <w:tabs>
          <w:tab w:val="left" w:pos="284"/>
        </w:tabs>
        <w:spacing w:after="0"/>
        <w:ind w:left="993" w:hanging="284"/>
        <w:contextualSpacing w:val="0"/>
        <w:jc w:val="both"/>
        <w:rPr>
          <w:sz w:val="24"/>
        </w:rPr>
      </w:pPr>
      <w:r>
        <w:rPr>
          <w:sz w:val="24"/>
        </w:rPr>
        <w:t xml:space="preserve">Organizarea </w:t>
      </w:r>
      <w:r w:rsidRPr="00BD42D8">
        <w:rPr>
          <w:sz w:val="24"/>
        </w:rPr>
        <w:t xml:space="preserve">de </w:t>
      </w:r>
      <w:r>
        <w:rPr>
          <w:sz w:val="24"/>
        </w:rPr>
        <w:t xml:space="preserve">către </w:t>
      </w:r>
      <w:r w:rsidRPr="00BD42D8">
        <w:rPr>
          <w:sz w:val="24"/>
        </w:rPr>
        <w:t xml:space="preserve">facilitator </w:t>
      </w:r>
      <w:r>
        <w:rPr>
          <w:sz w:val="24"/>
        </w:rPr>
        <w:t>a unor</w:t>
      </w:r>
      <w:r w:rsidR="005F5BD6" w:rsidRPr="00BD42D8">
        <w:rPr>
          <w:sz w:val="24"/>
        </w:rPr>
        <w:t xml:space="preserve"> întruniri publice în ZUM selectate, cu </w:t>
      </w:r>
      <w:r>
        <w:rPr>
          <w:sz w:val="24"/>
        </w:rPr>
        <w:t xml:space="preserve">abordarea obligatorie a </w:t>
      </w:r>
      <w:r w:rsidR="005F5BD6" w:rsidRPr="00BD42D8">
        <w:rPr>
          <w:sz w:val="24"/>
        </w:rPr>
        <w:t xml:space="preserve"> următoarel</w:t>
      </w:r>
      <w:r>
        <w:rPr>
          <w:sz w:val="24"/>
        </w:rPr>
        <w:t>or</w:t>
      </w:r>
      <w:r w:rsidR="005F5BD6" w:rsidRPr="00BD42D8">
        <w:rPr>
          <w:sz w:val="24"/>
        </w:rPr>
        <w:t xml:space="preserve"> teme: </w:t>
      </w:r>
    </w:p>
    <w:p w:rsidR="005F5BD6" w:rsidRPr="00BD42D8" w:rsidRDefault="005F5BD6" w:rsidP="001E4356">
      <w:pPr>
        <w:spacing w:after="0"/>
        <w:ind w:left="1276"/>
        <w:jc w:val="both"/>
        <w:rPr>
          <w:sz w:val="24"/>
        </w:rPr>
      </w:pPr>
      <w:r w:rsidRPr="00BD42D8">
        <w:rPr>
          <w:sz w:val="24"/>
        </w:rPr>
        <w:t>1.</w:t>
      </w:r>
      <w:r w:rsidR="007D6863" w:rsidRPr="00BD42D8">
        <w:rPr>
          <w:sz w:val="24"/>
        </w:rPr>
        <w:t xml:space="preserve"> D</w:t>
      </w:r>
      <w:r w:rsidRPr="00BD42D8">
        <w:rPr>
          <w:sz w:val="24"/>
        </w:rPr>
        <w:t xml:space="preserve">elimitarea teritoriului, identificarea zonelor distincte incluse în teritoriul SDL și declararea ZUM din teritoriu, precum și elaborarea Studiului de referință; </w:t>
      </w:r>
    </w:p>
    <w:p w:rsidR="005F5BD6" w:rsidRPr="00BD42D8" w:rsidRDefault="005F5BD6" w:rsidP="001E4356">
      <w:pPr>
        <w:spacing w:after="0"/>
        <w:ind w:left="1276"/>
        <w:jc w:val="both"/>
        <w:rPr>
          <w:sz w:val="24"/>
        </w:rPr>
      </w:pPr>
      <w:r w:rsidRPr="00BD42D8">
        <w:rPr>
          <w:sz w:val="24"/>
        </w:rPr>
        <w:t>2.</w:t>
      </w:r>
      <w:r w:rsidR="007D6863" w:rsidRPr="00BD42D8">
        <w:rPr>
          <w:sz w:val="24"/>
        </w:rPr>
        <w:t xml:space="preserve"> P</w:t>
      </w:r>
      <w:r w:rsidRPr="00BD42D8">
        <w:rPr>
          <w:sz w:val="24"/>
        </w:rPr>
        <w:t xml:space="preserve">rincipalele rezultate ale analizei diagnostic a nevoilor, problemelor și resurselor identificate în teritoriul SDL, și specific în ZUM, pe baza datelor din Studiul de referință; </w:t>
      </w:r>
    </w:p>
    <w:p w:rsidR="005F5BD6" w:rsidRPr="00BD42D8" w:rsidRDefault="005F5BD6" w:rsidP="001E4356">
      <w:pPr>
        <w:spacing w:after="0"/>
        <w:ind w:left="1276"/>
        <w:jc w:val="both"/>
        <w:rPr>
          <w:sz w:val="24"/>
        </w:rPr>
      </w:pPr>
      <w:r w:rsidRPr="00BD42D8">
        <w:rPr>
          <w:sz w:val="24"/>
        </w:rPr>
        <w:t>3.</w:t>
      </w:r>
      <w:r w:rsidR="007D6863" w:rsidRPr="00BD42D8">
        <w:rPr>
          <w:sz w:val="24"/>
        </w:rPr>
        <w:t xml:space="preserve"> I</w:t>
      </w:r>
      <w:r w:rsidRPr="00BD42D8">
        <w:rPr>
          <w:sz w:val="24"/>
        </w:rPr>
        <w:t>dentificarea soluțiilor posibile</w:t>
      </w:r>
      <w:r w:rsidR="007052CA">
        <w:rPr>
          <w:sz w:val="24"/>
        </w:rPr>
        <w:t>/a măsurilor necesar a fi întreprinse</w:t>
      </w:r>
      <w:r w:rsidRPr="00BD42D8">
        <w:rPr>
          <w:sz w:val="24"/>
        </w:rPr>
        <w:t xml:space="preserve"> și organizarea </w:t>
      </w:r>
      <w:r w:rsidR="007052CA">
        <w:rPr>
          <w:sz w:val="24"/>
        </w:rPr>
        <w:t xml:space="preserve">unor </w:t>
      </w:r>
      <w:r w:rsidRPr="00BD42D8">
        <w:rPr>
          <w:sz w:val="24"/>
        </w:rPr>
        <w:t xml:space="preserve">consultări publice </w:t>
      </w:r>
      <w:r w:rsidR="007052CA">
        <w:rPr>
          <w:sz w:val="24"/>
        </w:rPr>
        <w:t>pe tot</w:t>
      </w:r>
      <w:r w:rsidRPr="00BD42D8">
        <w:rPr>
          <w:sz w:val="24"/>
        </w:rPr>
        <w:t xml:space="preserve"> teritoriul SDL; </w:t>
      </w:r>
    </w:p>
    <w:p w:rsidR="005F5BD6" w:rsidRPr="00BD42D8" w:rsidRDefault="005F5BD6" w:rsidP="001E4356">
      <w:pPr>
        <w:spacing w:after="0"/>
        <w:ind w:left="1276"/>
        <w:jc w:val="both"/>
        <w:rPr>
          <w:sz w:val="24"/>
        </w:rPr>
      </w:pPr>
      <w:r w:rsidRPr="00BD42D8">
        <w:rPr>
          <w:sz w:val="24"/>
        </w:rPr>
        <w:t>4.</w:t>
      </w:r>
      <w:r w:rsidR="007D6863" w:rsidRPr="00BD42D8">
        <w:rPr>
          <w:sz w:val="24"/>
        </w:rPr>
        <w:t xml:space="preserve"> </w:t>
      </w:r>
      <w:proofErr w:type="spellStart"/>
      <w:r w:rsidR="007D6863" w:rsidRPr="00BD42D8">
        <w:rPr>
          <w:sz w:val="24"/>
        </w:rPr>
        <w:t>P</w:t>
      </w:r>
      <w:r w:rsidRPr="00BD42D8">
        <w:rPr>
          <w:sz w:val="24"/>
        </w:rPr>
        <w:t>rioritizarea</w:t>
      </w:r>
      <w:proofErr w:type="spellEnd"/>
      <w:r w:rsidRPr="00BD42D8">
        <w:rPr>
          <w:sz w:val="24"/>
        </w:rPr>
        <w:t xml:space="preserve"> măsurilor </w:t>
      </w:r>
      <w:r w:rsidR="007052CA">
        <w:rPr>
          <w:sz w:val="24"/>
        </w:rPr>
        <w:t>identificate</w:t>
      </w:r>
      <w:r w:rsidRPr="00BD42D8">
        <w:rPr>
          <w:sz w:val="24"/>
        </w:rPr>
        <w:t xml:space="preserve"> în cadrul consultărilor </w:t>
      </w:r>
      <w:r w:rsidR="007052CA">
        <w:rPr>
          <w:sz w:val="24"/>
        </w:rPr>
        <w:t xml:space="preserve">publice </w:t>
      </w:r>
      <w:r w:rsidRPr="00BD42D8">
        <w:rPr>
          <w:sz w:val="24"/>
        </w:rPr>
        <w:t xml:space="preserve">din teritoriu, cu precădere în ZUM și </w:t>
      </w:r>
    </w:p>
    <w:p w:rsidR="005F5BD6" w:rsidRPr="00BD42D8" w:rsidRDefault="005F5BD6" w:rsidP="001E4356">
      <w:pPr>
        <w:spacing w:after="0"/>
        <w:ind w:left="1276"/>
        <w:jc w:val="both"/>
        <w:rPr>
          <w:sz w:val="24"/>
        </w:rPr>
      </w:pPr>
      <w:r w:rsidRPr="00BD42D8">
        <w:rPr>
          <w:sz w:val="24"/>
        </w:rPr>
        <w:t>5.</w:t>
      </w:r>
      <w:r w:rsidR="007D6863" w:rsidRPr="00BD42D8">
        <w:rPr>
          <w:sz w:val="24"/>
        </w:rPr>
        <w:t xml:space="preserve"> D</w:t>
      </w:r>
      <w:r w:rsidRPr="00BD42D8">
        <w:rPr>
          <w:sz w:val="24"/>
        </w:rPr>
        <w:t xml:space="preserve">ecizia finală cu privire la conținutul strategiei de dezvoltare locală și </w:t>
      </w:r>
      <w:r w:rsidR="00B771C9">
        <w:rPr>
          <w:sz w:val="24"/>
        </w:rPr>
        <w:t>la</w:t>
      </w:r>
      <w:r w:rsidRPr="00BD42D8">
        <w:rPr>
          <w:sz w:val="24"/>
        </w:rPr>
        <w:t xml:space="preserve"> lista indicativă de intervenții.</w:t>
      </w:r>
    </w:p>
    <w:p w:rsidR="005F5BD6" w:rsidRPr="00BD42D8" w:rsidRDefault="00176E48" w:rsidP="008819FB">
      <w:pPr>
        <w:pStyle w:val="ListParagraph"/>
        <w:numPr>
          <w:ilvl w:val="1"/>
          <w:numId w:val="68"/>
        </w:numPr>
        <w:tabs>
          <w:tab w:val="left" w:pos="284"/>
        </w:tabs>
        <w:spacing w:after="0"/>
        <w:ind w:left="993" w:hanging="284"/>
        <w:contextualSpacing w:val="0"/>
        <w:jc w:val="both"/>
        <w:rPr>
          <w:sz w:val="24"/>
        </w:rPr>
      </w:pPr>
      <w:r>
        <w:rPr>
          <w:sz w:val="24"/>
        </w:rPr>
        <w:lastRenderedPageBreak/>
        <w:t>Organizarea unor</w:t>
      </w:r>
      <w:r w:rsidR="005F5BD6" w:rsidRPr="00BD42D8">
        <w:rPr>
          <w:sz w:val="24"/>
        </w:rPr>
        <w:t xml:space="preserve"> ședințe ale Comitetului Director</w:t>
      </w:r>
      <w:r w:rsidR="00B771C9">
        <w:rPr>
          <w:sz w:val="24"/>
        </w:rPr>
        <w:t xml:space="preserve"> (CD)</w:t>
      </w:r>
      <w:r w:rsidR="005F5BD6" w:rsidRPr="00BD42D8">
        <w:rPr>
          <w:sz w:val="24"/>
        </w:rPr>
        <w:t xml:space="preserve"> GAL pe aceleași teme</w:t>
      </w:r>
      <w:r w:rsidR="0032338D" w:rsidRPr="00BD42D8">
        <w:rPr>
          <w:sz w:val="24"/>
        </w:rPr>
        <w:t>.</w:t>
      </w:r>
      <w:r w:rsidR="005F5BD6" w:rsidRPr="00BD42D8">
        <w:rPr>
          <w:sz w:val="24"/>
        </w:rPr>
        <w:t xml:space="preserve"> </w:t>
      </w:r>
    </w:p>
    <w:p w:rsidR="00D702B7" w:rsidRPr="00BD42D8" w:rsidRDefault="00017A9F" w:rsidP="008819FB">
      <w:pPr>
        <w:spacing w:after="0"/>
        <w:jc w:val="both"/>
        <w:rPr>
          <w:sz w:val="24"/>
        </w:rPr>
      </w:pPr>
      <w:r w:rsidRPr="00BD42D8">
        <w:rPr>
          <w:sz w:val="24"/>
        </w:rPr>
        <w:t>Sinteza întrunirilor publice va fi în mod obligatoriu prezentat</w:t>
      </w:r>
      <w:r w:rsidR="00B771C9">
        <w:rPr>
          <w:sz w:val="24"/>
        </w:rPr>
        <w:t>ă de facilitator în ședințele CD</w:t>
      </w:r>
      <w:r w:rsidRPr="00BD42D8">
        <w:rPr>
          <w:sz w:val="24"/>
        </w:rPr>
        <w:t xml:space="preserve"> al GAL.</w:t>
      </w:r>
    </w:p>
    <w:p w:rsidR="00A95135" w:rsidRDefault="005F5BD6" w:rsidP="008819FB">
      <w:pPr>
        <w:spacing w:after="0"/>
        <w:jc w:val="both"/>
        <w:rPr>
          <w:sz w:val="24"/>
        </w:rPr>
      </w:pPr>
      <w:r w:rsidRPr="00BD42D8">
        <w:rPr>
          <w:sz w:val="24"/>
        </w:rPr>
        <w:t xml:space="preserve">La întrunirile publice </w:t>
      </w:r>
      <w:r w:rsidR="00B771C9">
        <w:rPr>
          <w:sz w:val="24"/>
        </w:rPr>
        <w:t>desfășurate în</w:t>
      </w:r>
      <w:r w:rsidRPr="00BD42D8">
        <w:rPr>
          <w:sz w:val="24"/>
        </w:rPr>
        <w:t xml:space="preserve"> comunitatea marginalizată, </w:t>
      </w:r>
      <w:r w:rsidR="00FF36A9" w:rsidRPr="00562D5A">
        <w:rPr>
          <w:sz w:val="24"/>
        </w:rPr>
        <w:t xml:space="preserve">precum și la ședințele </w:t>
      </w:r>
      <w:r w:rsidR="00B771C9">
        <w:rPr>
          <w:sz w:val="24"/>
        </w:rPr>
        <w:t>CD</w:t>
      </w:r>
      <w:r w:rsidR="00FF36A9" w:rsidRPr="00562D5A">
        <w:rPr>
          <w:sz w:val="24"/>
        </w:rPr>
        <w:t>,</w:t>
      </w:r>
      <w:r w:rsidR="00FF36A9">
        <w:rPr>
          <w:sz w:val="24"/>
        </w:rPr>
        <w:t xml:space="preserve"> </w:t>
      </w:r>
      <w:r w:rsidRPr="00BD42D8">
        <w:rPr>
          <w:sz w:val="24"/>
        </w:rPr>
        <w:t>GAL-</w:t>
      </w:r>
      <w:proofErr w:type="spellStart"/>
      <w:r w:rsidRPr="00BD42D8">
        <w:rPr>
          <w:sz w:val="24"/>
        </w:rPr>
        <w:t>ul</w:t>
      </w:r>
      <w:proofErr w:type="spellEnd"/>
      <w:r w:rsidRPr="00BD42D8">
        <w:rPr>
          <w:sz w:val="24"/>
        </w:rPr>
        <w:t xml:space="preserve"> </w:t>
      </w:r>
      <w:r w:rsidR="00176E48">
        <w:rPr>
          <w:sz w:val="24"/>
        </w:rPr>
        <w:t>poate</w:t>
      </w:r>
      <w:r w:rsidR="00176E48" w:rsidRPr="00BD42D8">
        <w:rPr>
          <w:sz w:val="24"/>
        </w:rPr>
        <w:t xml:space="preserve"> </w:t>
      </w:r>
      <w:r w:rsidRPr="00BD42D8">
        <w:rPr>
          <w:sz w:val="24"/>
        </w:rPr>
        <w:t xml:space="preserve">invita, în calitate de observatori, reprezentanți </w:t>
      </w:r>
      <w:r w:rsidR="00D702B7" w:rsidRPr="00BD42D8">
        <w:rPr>
          <w:sz w:val="24"/>
        </w:rPr>
        <w:t>ai ADR</w:t>
      </w:r>
      <w:r w:rsidR="007052CA">
        <w:rPr>
          <w:sz w:val="24"/>
        </w:rPr>
        <w:t>, precum</w:t>
      </w:r>
      <w:r w:rsidR="00D702B7" w:rsidRPr="00BD42D8">
        <w:rPr>
          <w:sz w:val="24"/>
        </w:rPr>
        <w:t xml:space="preserve"> şi </w:t>
      </w:r>
      <w:r w:rsidR="007052CA">
        <w:rPr>
          <w:sz w:val="24"/>
        </w:rPr>
        <w:t>ai</w:t>
      </w:r>
      <w:r w:rsidR="00D702B7" w:rsidRPr="00BD42D8">
        <w:rPr>
          <w:sz w:val="24"/>
        </w:rPr>
        <w:t xml:space="preserve"> AM/</w:t>
      </w:r>
      <w:r w:rsidRPr="00BD42D8">
        <w:rPr>
          <w:sz w:val="24"/>
        </w:rPr>
        <w:t xml:space="preserve">OI POCU. </w:t>
      </w:r>
    </w:p>
    <w:p w:rsidR="002A71BA" w:rsidRPr="00C7049F" w:rsidRDefault="005F5BD6" w:rsidP="009777A6">
      <w:pPr>
        <w:pStyle w:val="ListParagraph"/>
        <w:numPr>
          <w:ilvl w:val="1"/>
          <w:numId w:val="68"/>
        </w:numPr>
        <w:tabs>
          <w:tab w:val="left" w:pos="284"/>
        </w:tabs>
        <w:spacing w:after="240"/>
        <w:ind w:left="993" w:hanging="284"/>
        <w:contextualSpacing w:val="0"/>
        <w:jc w:val="both"/>
        <w:rPr>
          <w:sz w:val="24"/>
        </w:rPr>
      </w:pPr>
      <w:r w:rsidRPr="00C7049F">
        <w:rPr>
          <w:sz w:val="24"/>
        </w:rPr>
        <w:t>Formarea actorilor locali</w:t>
      </w:r>
      <w:r w:rsidR="00245342" w:rsidRPr="00C7049F">
        <w:rPr>
          <w:sz w:val="24"/>
        </w:rPr>
        <w:t xml:space="preserve"> în vederea îmbunătățirii competențelor în domeniile vizate de SDL/DLRC</w:t>
      </w:r>
      <w:r w:rsidR="00176E48" w:rsidRPr="00C7049F">
        <w:rPr>
          <w:sz w:val="24"/>
        </w:rPr>
        <w:t xml:space="preserve"> (cursuri formare/perfecționare în vederea creșterii capacității membrilor și personalului administrativ GAL de a genera procese de dezvoltare adecvate nevoilor locale, precum și pentru dezvoltarea competențelor acestora în domeniile relevante pentru nevoile de dezvoltare identificate în SDL)</w:t>
      </w:r>
    </w:p>
    <w:p w:rsidR="00CE3145" w:rsidRPr="00C7049F" w:rsidRDefault="003B0D06" w:rsidP="001E4356">
      <w:pPr>
        <w:pStyle w:val="Heading1"/>
        <w:numPr>
          <w:ilvl w:val="0"/>
          <w:numId w:val="72"/>
        </w:numPr>
        <w:spacing w:before="240" w:after="120"/>
        <w:ind w:left="283" w:hanging="357"/>
        <w:rPr>
          <w:rFonts w:ascii="Trebuchet MS" w:eastAsia="Times New Roman" w:hAnsi="Trebuchet MS" w:cs="Times New Roman"/>
          <w:bCs w:val="0"/>
          <w:color w:val="002060"/>
          <w:sz w:val="26"/>
          <w:szCs w:val="26"/>
        </w:rPr>
      </w:pPr>
      <w:bookmarkStart w:id="4" w:name="_Toc485991238"/>
      <w:r w:rsidRPr="00C7049F">
        <w:rPr>
          <w:rFonts w:ascii="Trebuchet MS" w:eastAsia="Times New Roman" w:hAnsi="Trebuchet MS" w:cs="Times New Roman"/>
          <w:bCs w:val="0"/>
          <w:color w:val="002060"/>
          <w:sz w:val="26"/>
          <w:szCs w:val="26"/>
        </w:rPr>
        <w:t>Depunerea și s</w:t>
      </w:r>
      <w:r w:rsidR="00847D24" w:rsidRPr="00C7049F">
        <w:rPr>
          <w:rFonts w:ascii="Trebuchet MS" w:eastAsia="Times New Roman" w:hAnsi="Trebuchet MS" w:cs="Times New Roman"/>
          <w:bCs w:val="0"/>
          <w:color w:val="002060"/>
          <w:sz w:val="26"/>
          <w:szCs w:val="26"/>
        </w:rPr>
        <w:t xml:space="preserve">elecția </w:t>
      </w:r>
      <w:r w:rsidR="00245342" w:rsidRPr="00C7049F">
        <w:rPr>
          <w:rFonts w:ascii="Trebuchet MS" w:eastAsia="Times New Roman" w:hAnsi="Trebuchet MS" w:cs="Times New Roman"/>
          <w:bCs w:val="0"/>
          <w:color w:val="002060"/>
          <w:sz w:val="26"/>
          <w:szCs w:val="26"/>
        </w:rPr>
        <w:t>strategiilor DLRC</w:t>
      </w:r>
      <w:bookmarkEnd w:id="4"/>
      <w:r w:rsidR="00CE3145" w:rsidRPr="00C7049F">
        <w:rPr>
          <w:rFonts w:ascii="Trebuchet MS" w:eastAsia="Times New Roman" w:hAnsi="Trebuchet MS" w:cs="Times New Roman"/>
          <w:bCs w:val="0"/>
          <w:color w:val="002060"/>
          <w:sz w:val="26"/>
          <w:szCs w:val="26"/>
        </w:rPr>
        <w:t xml:space="preserve"> </w:t>
      </w:r>
    </w:p>
    <w:p w:rsidR="00847D24" w:rsidRPr="00C7049F" w:rsidRDefault="00847D24" w:rsidP="001E4356">
      <w:pPr>
        <w:pStyle w:val="Heading1"/>
        <w:numPr>
          <w:ilvl w:val="0"/>
          <w:numId w:val="69"/>
        </w:numPr>
        <w:tabs>
          <w:tab w:val="left" w:pos="426"/>
          <w:tab w:val="left" w:pos="567"/>
        </w:tabs>
        <w:spacing w:before="120" w:after="120"/>
        <w:ind w:left="284" w:firstLine="0"/>
        <w:jc w:val="both"/>
        <w:rPr>
          <w:rFonts w:ascii="Trebuchet MS" w:eastAsia="Times New Roman" w:hAnsi="Trebuchet MS" w:cs="Times New Roman"/>
          <w:bCs w:val="0"/>
          <w:color w:val="0070C0"/>
          <w:sz w:val="24"/>
          <w:szCs w:val="24"/>
        </w:rPr>
      </w:pPr>
      <w:bookmarkStart w:id="5" w:name="_Toc485991239"/>
      <w:r w:rsidRPr="00C7049F">
        <w:rPr>
          <w:rFonts w:ascii="Trebuchet MS" w:eastAsia="Times New Roman" w:hAnsi="Trebuchet MS" w:cs="Times New Roman"/>
          <w:bCs w:val="0"/>
          <w:color w:val="0070C0"/>
          <w:sz w:val="24"/>
          <w:szCs w:val="24"/>
        </w:rPr>
        <w:t>Alocarea financiară pentru sesiunea de selecție a SDL-urilor</w:t>
      </w:r>
      <w:bookmarkEnd w:id="5"/>
    </w:p>
    <w:p w:rsidR="00847D24" w:rsidRPr="00C7049F" w:rsidRDefault="00F44C75" w:rsidP="008A1774">
      <w:pPr>
        <w:pStyle w:val="ListParagraph"/>
        <w:numPr>
          <w:ilvl w:val="0"/>
          <w:numId w:val="89"/>
        </w:numPr>
        <w:spacing w:after="0"/>
        <w:ind w:left="714" w:hanging="357"/>
        <w:contextualSpacing w:val="0"/>
        <w:rPr>
          <w:b/>
          <w:i/>
          <w:sz w:val="24"/>
        </w:rPr>
      </w:pPr>
      <w:r w:rsidRPr="00C7049F">
        <w:rPr>
          <w:b/>
          <w:i/>
          <w:sz w:val="24"/>
        </w:rPr>
        <w:t xml:space="preserve">Pentru regiunile mai puțin dezvoltate: </w:t>
      </w:r>
    </w:p>
    <w:p w:rsidR="00847D24" w:rsidRPr="00C7049F" w:rsidRDefault="00847D24" w:rsidP="008A1774">
      <w:pPr>
        <w:spacing w:after="0"/>
        <w:jc w:val="both"/>
        <w:rPr>
          <w:sz w:val="24"/>
        </w:rPr>
      </w:pPr>
      <w:r w:rsidRPr="00C7049F">
        <w:rPr>
          <w:sz w:val="24"/>
        </w:rPr>
        <w:t xml:space="preserve">Alocarea financiară totală </w:t>
      </w:r>
      <w:r w:rsidR="00F44C75" w:rsidRPr="00C7049F">
        <w:rPr>
          <w:sz w:val="24"/>
        </w:rPr>
        <w:t xml:space="preserve">(cofinanțarea UE + cofinanțarea națională) </w:t>
      </w:r>
      <w:r w:rsidRPr="00C7049F">
        <w:rPr>
          <w:sz w:val="24"/>
        </w:rPr>
        <w:t xml:space="preserve">pentru sesiunea de selecție a SDL-urilor este de </w:t>
      </w:r>
      <w:r w:rsidR="00583571">
        <w:rPr>
          <w:sz w:val="24"/>
        </w:rPr>
        <w:t>167.345.621,78</w:t>
      </w:r>
      <w:r w:rsidRPr="00C7049F">
        <w:rPr>
          <w:sz w:val="24"/>
        </w:rPr>
        <w:t xml:space="preserve"> Euro, fiind compusă din:</w:t>
      </w:r>
    </w:p>
    <w:p w:rsidR="00F44C75" w:rsidRPr="00C7049F" w:rsidRDefault="00847D24" w:rsidP="00583571">
      <w:pPr>
        <w:pStyle w:val="ListParagraph"/>
        <w:numPr>
          <w:ilvl w:val="0"/>
          <w:numId w:val="88"/>
        </w:numPr>
        <w:spacing w:after="0"/>
        <w:contextualSpacing w:val="0"/>
        <w:jc w:val="both"/>
        <w:rPr>
          <w:sz w:val="24"/>
        </w:rPr>
      </w:pPr>
      <w:r w:rsidRPr="00C7049F">
        <w:rPr>
          <w:sz w:val="24"/>
        </w:rPr>
        <w:t>finanțare POCU:</w:t>
      </w:r>
      <w:r w:rsidR="00F44C75" w:rsidRPr="00C7049F">
        <w:rPr>
          <w:sz w:val="24"/>
        </w:rPr>
        <w:t xml:space="preserve"> </w:t>
      </w:r>
      <w:r w:rsidR="00583571" w:rsidRPr="00583571">
        <w:rPr>
          <w:sz w:val="24"/>
        </w:rPr>
        <w:t xml:space="preserve">79.551.667,78 </w:t>
      </w:r>
      <w:r w:rsidR="00583571">
        <w:rPr>
          <w:sz w:val="24"/>
        </w:rPr>
        <w:t>E</w:t>
      </w:r>
      <w:r w:rsidR="00F44C75" w:rsidRPr="00C7049F">
        <w:rPr>
          <w:sz w:val="24"/>
        </w:rPr>
        <w:t xml:space="preserve">uro, din care cofinanțarea UE </w:t>
      </w:r>
      <w:r w:rsidR="00583571">
        <w:rPr>
          <w:sz w:val="24"/>
        </w:rPr>
        <w:t xml:space="preserve">din FSE </w:t>
      </w:r>
      <w:r w:rsidR="00F44C75" w:rsidRPr="00C7049F">
        <w:rPr>
          <w:sz w:val="24"/>
        </w:rPr>
        <w:t xml:space="preserve">este de </w:t>
      </w:r>
      <w:r w:rsidR="00583571" w:rsidRPr="00583571">
        <w:rPr>
          <w:sz w:val="24"/>
        </w:rPr>
        <w:t>75.574.084,40</w:t>
      </w:r>
      <w:r w:rsidR="00583571">
        <w:rPr>
          <w:sz w:val="24"/>
        </w:rPr>
        <w:t xml:space="preserve"> E</w:t>
      </w:r>
      <w:r w:rsidR="00F44C75" w:rsidRPr="00C7049F">
        <w:rPr>
          <w:sz w:val="24"/>
        </w:rPr>
        <w:t xml:space="preserve">uro (corespunzând unei cofinanțări UE de 95%), iar cofinanțarea națională este de </w:t>
      </w:r>
      <w:r w:rsidR="00583571" w:rsidRPr="00583571">
        <w:rPr>
          <w:sz w:val="24"/>
        </w:rPr>
        <w:t>3.977.583,39</w:t>
      </w:r>
      <w:r w:rsidR="00583571">
        <w:rPr>
          <w:sz w:val="24"/>
        </w:rPr>
        <w:t xml:space="preserve"> E</w:t>
      </w:r>
      <w:r w:rsidR="00F44C75" w:rsidRPr="00C7049F">
        <w:rPr>
          <w:sz w:val="24"/>
        </w:rPr>
        <w:t>uro (corespunzând unei cofinanțări naționale de 5%)</w:t>
      </w:r>
      <w:r w:rsidRPr="00C7049F">
        <w:rPr>
          <w:sz w:val="24"/>
        </w:rPr>
        <w:t>;</w:t>
      </w:r>
    </w:p>
    <w:p w:rsidR="00583571" w:rsidRDefault="00F44C75" w:rsidP="00583571">
      <w:pPr>
        <w:pStyle w:val="ListParagraph"/>
        <w:numPr>
          <w:ilvl w:val="0"/>
          <w:numId w:val="88"/>
        </w:numPr>
        <w:spacing w:after="0"/>
        <w:ind w:left="714" w:hanging="357"/>
        <w:contextualSpacing w:val="0"/>
        <w:jc w:val="both"/>
        <w:rPr>
          <w:sz w:val="24"/>
        </w:rPr>
      </w:pPr>
      <w:r w:rsidRPr="00583571">
        <w:rPr>
          <w:sz w:val="24"/>
        </w:rPr>
        <w:t xml:space="preserve">finanțare POR: </w:t>
      </w:r>
      <w:r w:rsidR="00583571" w:rsidRPr="00583571">
        <w:rPr>
          <w:sz w:val="24"/>
        </w:rPr>
        <w:t xml:space="preserve">87.793.954 Euro, din care cofinanțarea UE </w:t>
      </w:r>
      <w:r w:rsidR="00583571">
        <w:rPr>
          <w:sz w:val="24"/>
        </w:rPr>
        <w:t xml:space="preserve">din FEDR </w:t>
      </w:r>
      <w:r w:rsidR="00583571" w:rsidRPr="00583571">
        <w:rPr>
          <w:sz w:val="24"/>
        </w:rPr>
        <w:t>este de 85.106.383 Euro (co</w:t>
      </w:r>
      <w:r w:rsidR="00583571">
        <w:rPr>
          <w:sz w:val="24"/>
        </w:rPr>
        <w:t xml:space="preserve">respunzând unei cofinanțări UE </w:t>
      </w:r>
      <w:r w:rsidR="00583571" w:rsidRPr="00583571">
        <w:rPr>
          <w:sz w:val="24"/>
        </w:rPr>
        <w:t xml:space="preserve">de maximum 95% din valoarea cheltuielilor eligibile), iar cofinanțarea națională  este de 2.687.571 Euro (corespunzând unei cofinanțări naționale, de la bugetul de stat, de 3% din valoarea cheltuielilor eligibile). </w:t>
      </w:r>
    </w:p>
    <w:p w:rsidR="00583571" w:rsidRPr="00583571" w:rsidRDefault="00583571" w:rsidP="00583571">
      <w:pPr>
        <w:ind w:left="708"/>
        <w:jc w:val="both"/>
        <w:rPr>
          <w:sz w:val="24"/>
        </w:rPr>
      </w:pPr>
      <w:r w:rsidRPr="00583571">
        <w:rPr>
          <w:sz w:val="24"/>
        </w:rPr>
        <w:t xml:space="preserve">La nivelul proiectelor aferente SDL, </w:t>
      </w:r>
      <w:r>
        <w:rPr>
          <w:sz w:val="24"/>
        </w:rPr>
        <w:t>c</w:t>
      </w:r>
      <w:r w:rsidRPr="00583571">
        <w:rPr>
          <w:sz w:val="24"/>
        </w:rPr>
        <w:t xml:space="preserve">ontribuția beneficiarului la finanțarea nerambursabilă va reprezenta minimum 2% din valoarea cheltuielilor eligibile și, după caz, valoarea cheltuielilor neeligibile aferente proiectului; </w:t>
      </w:r>
    </w:p>
    <w:p w:rsidR="00F44C75" w:rsidRPr="00C7049F" w:rsidRDefault="00F44C75" w:rsidP="008A1774">
      <w:pPr>
        <w:pStyle w:val="ListParagraph"/>
        <w:numPr>
          <w:ilvl w:val="0"/>
          <w:numId w:val="89"/>
        </w:numPr>
        <w:spacing w:before="120" w:after="0"/>
        <w:ind w:left="714" w:hanging="357"/>
        <w:contextualSpacing w:val="0"/>
        <w:rPr>
          <w:i/>
          <w:sz w:val="24"/>
        </w:rPr>
      </w:pPr>
      <w:r w:rsidRPr="00C7049F">
        <w:rPr>
          <w:b/>
          <w:i/>
          <w:sz w:val="24"/>
        </w:rPr>
        <w:t>Pentru regiunile mai dezvoltate:</w:t>
      </w:r>
    </w:p>
    <w:p w:rsidR="00F44C75" w:rsidRPr="00C7049F" w:rsidRDefault="00F44C75" w:rsidP="008A1774">
      <w:pPr>
        <w:spacing w:after="0"/>
        <w:jc w:val="both"/>
        <w:rPr>
          <w:sz w:val="24"/>
        </w:rPr>
      </w:pPr>
      <w:r w:rsidRPr="00C7049F">
        <w:rPr>
          <w:sz w:val="24"/>
        </w:rPr>
        <w:t xml:space="preserve">Alocarea financiară totală (cofinanțarea UE + cofinanțarea națională) pentru sesiunea de selecție a SDL-urilor este de </w:t>
      </w:r>
      <w:r w:rsidR="00583571" w:rsidRPr="00583571">
        <w:rPr>
          <w:sz w:val="24"/>
        </w:rPr>
        <w:t>20.422.999,19</w:t>
      </w:r>
      <w:r w:rsidR="00583571">
        <w:rPr>
          <w:sz w:val="24"/>
        </w:rPr>
        <w:t xml:space="preserve"> </w:t>
      </w:r>
      <w:r w:rsidRPr="00C7049F">
        <w:rPr>
          <w:sz w:val="24"/>
        </w:rPr>
        <w:t>Euro, fiind compusă din:</w:t>
      </w:r>
    </w:p>
    <w:p w:rsidR="00F44C75" w:rsidRPr="00C7049F" w:rsidRDefault="008A1774" w:rsidP="00583571">
      <w:pPr>
        <w:numPr>
          <w:ilvl w:val="0"/>
          <w:numId w:val="88"/>
        </w:numPr>
        <w:spacing w:after="0"/>
        <w:jc w:val="both"/>
        <w:rPr>
          <w:sz w:val="24"/>
        </w:rPr>
      </w:pPr>
      <w:r w:rsidRPr="00C7049F">
        <w:rPr>
          <w:sz w:val="24"/>
        </w:rPr>
        <w:t xml:space="preserve">finanțare POCU: </w:t>
      </w:r>
      <w:r w:rsidR="00583571" w:rsidRPr="00583571">
        <w:rPr>
          <w:sz w:val="24"/>
        </w:rPr>
        <w:t xml:space="preserve">8.839.074,19 </w:t>
      </w:r>
      <w:r w:rsidR="00F44C75" w:rsidRPr="00C7049F">
        <w:rPr>
          <w:sz w:val="24"/>
        </w:rPr>
        <w:t xml:space="preserve">Euro, din care cofinanțarea UE </w:t>
      </w:r>
      <w:r w:rsidR="00583571">
        <w:rPr>
          <w:sz w:val="24"/>
        </w:rPr>
        <w:t xml:space="preserve">din FSE </w:t>
      </w:r>
      <w:r w:rsidR="00F44C75" w:rsidRPr="00C7049F">
        <w:rPr>
          <w:sz w:val="24"/>
        </w:rPr>
        <w:t xml:space="preserve">este de </w:t>
      </w:r>
      <w:r w:rsidR="00583571" w:rsidRPr="00583571">
        <w:rPr>
          <w:sz w:val="24"/>
        </w:rPr>
        <w:t xml:space="preserve">7.955.166,78 </w:t>
      </w:r>
      <w:r w:rsidR="00F44C75" w:rsidRPr="00C7049F">
        <w:rPr>
          <w:sz w:val="24"/>
        </w:rPr>
        <w:t>euro (coresp</w:t>
      </w:r>
      <w:r w:rsidR="00583571">
        <w:rPr>
          <w:sz w:val="24"/>
        </w:rPr>
        <w:t>unzând unei cofinanțări UE de 90</w:t>
      </w:r>
      <w:r w:rsidR="00F44C75" w:rsidRPr="00C7049F">
        <w:rPr>
          <w:sz w:val="24"/>
        </w:rPr>
        <w:t xml:space="preserve">%), iar cofinanțarea </w:t>
      </w:r>
      <w:r w:rsidRPr="00C7049F">
        <w:rPr>
          <w:sz w:val="24"/>
        </w:rPr>
        <w:t xml:space="preserve">națională este de </w:t>
      </w:r>
      <w:r w:rsidR="00583571" w:rsidRPr="00583571">
        <w:rPr>
          <w:sz w:val="24"/>
        </w:rPr>
        <w:t xml:space="preserve">883.907,41 </w:t>
      </w:r>
      <w:r w:rsidRPr="00C7049F">
        <w:rPr>
          <w:sz w:val="24"/>
        </w:rPr>
        <w:t>E</w:t>
      </w:r>
      <w:r w:rsidR="00F44C75" w:rsidRPr="00C7049F">
        <w:rPr>
          <w:sz w:val="24"/>
        </w:rPr>
        <w:t>uro (corespunzând</w:t>
      </w:r>
      <w:r w:rsidR="00583571">
        <w:rPr>
          <w:sz w:val="24"/>
        </w:rPr>
        <w:t xml:space="preserve"> unei cofinanțări naționale de10</w:t>
      </w:r>
      <w:r w:rsidR="00F44C75" w:rsidRPr="00C7049F">
        <w:rPr>
          <w:sz w:val="24"/>
        </w:rPr>
        <w:t>%);</w:t>
      </w:r>
    </w:p>
    <w:p w:rsidR="0016705B" w:rsidRDefault="008A1774" w:rsidP="0016705B">
      <w:pPr>
        <w:numPr>
          <w:ilvl w:val="0"/>
          <w:numId w:val="69"/>
        </w:numPr>
        <w:tabs>
          <w:tab w:val="left" w:pos="426"/>
          <w:tab w:val="left" w:pos="567"/>
        </w:tabs>
        <w:spacing w:before="120" w:after="0"/>
        <w:ind w:left="782" w:hanging="357"/>
        <w:jc w:val="both"/>
        <w:rPr>
          <w:color w:val="0070C0"/>
          <w:sz w:val="24"/>
        </w:rPr>
      </w:pPr>
      <w:r w:rsidRPr="00583571">
        <w:rPr>
          <w:sz w:val="24"/>
        </w:rPr>
        <w:t xml:space="preserve">finanțare POR: </w:t>
      </w:r>
      <w:bookmarkStart w:id="6" w:name="_Toc485991240"/>
      <w:r w:rsidR="00583571" w:rsidRPr="00583571">
        <w:rPr>
          <w:sz w:val="24"/>
        </w:rPr>
        <w:t xml:space="preserve">11.583.925 Euro, din care cofinanțarea UE </w:t>
      </w:r>
      <w:r w:rsidR="00583571">
        <w:rPr>
          <w:sz w:val="24"/>
        </w:rPr>
        <w:t xml:space="preserve">din FEDR </w:t>
      </w:r>
      <w:r w:rsidR="00583571" w:rsidRPr="00583571">
        <w:rPr>
          <w:sz w:val="24"/>
        </w:rPr>
        <w:t>este de 10.638.298 Euro (c</w:t>
      </w:r>
      <w:r w:rsidR="00583571">
        <w:rPr>
          <w:sz w:val="24"/>
        </w:rPr>
        <w:t>orespunzând unei cofinanțări UE</w:t>
      </w:r>
      <w:r w:rsidR="00583571" w:rsidRPr="00583571">
        <w:rPr>
          <w:sz w:val="24"/>
        </w:rPr>
        <w:t xml:space="preserve"> de maximum 90% din valoarea cheltuielilor eligibile), iar cofinanțarea națională este de 945.627 </w:t>
      </w:r>
      <w:r w:rsidR="00583571" w:rsidRPr="00583571">
        <w:rPr>
          <w:sz w:val="24"/>
        </w:rPr>
        <w:lastRenderedPageBreak/>
        <w:t xml:space="preserve">Euro (corespunzând unei cofinanțări naționale, de la bugetul de stat,  de 8% din valoarea cheltuielilor eligibile) </w:t>
      </w:r>
    </w:p>
    <w:p w:rsidR="0016705B" w:rsidRPr="0016705B" w:rsidRDefault="0016705B" w:rsidP="0016705B">
      <w:pPr>
        <w:ind w:left="786"/>
        <w:jc w:val="both"/>
        <w:rPr>
          <w:color w:val="0070C0"/>
          <w:sz w:val="24"/>
        </w:rPr>
      </w:pPr>
      <w:r w:rsidRPr="0016705B">
        <w:rPr>
          <w:sz w:val="24"/>
        </w:rPr>
        <w:t>La nivelul proiectelor aferente SDL, contribuția beneficiarului la finanțarea nerambursabilă va reprezenta minimum 2% din valoarea cheltuielilor eligibile și, după caz, valoarea cheltuielilor neeligibile aferente proiectului;</w:t>
      </w:r>
    </w:p>
    <w:p w:rsidR="006C004E" w:rsidRPr="0016705B" w:rsidRDefault="001C52BF" w:rsidP="0016705B">
      <w:pPr>
        <w:pStyle w:val="Heading1"/>
        <w:numPr>
          <w:ilvl w:val="0"/>
          <w:numId w:val="69"/>
        </w:numPr>
        <w:tabs>
          <w:tab w:val="left" w:pos="426"/>
          <w:tab w:val="left" w:pos="567"/>
        </w:tabs>
        <w:spacing w:before="120" w:after="120"/>
        <w:ind w:left="284" w:firstLine="0"/>
        <w:jc w:val="both"/>
        <w:rPr>
          <w:rFonts w:ascii="Trebuchet MS" w:eastAsia="Times New Roman" w:hAnsi="Trebuchet MS" w:cs="Times New Roman"/>
          <w:bCs w:val="0"/>
          <w:color w:val="0070C0"/>
          <w:sz w:val="24"/>
          <w:szCs w:val="24"/>
        </w:rPr>
      </w:pPr>
      <w:r w:rsidRPr="0016705B">
        <w:rPr>
          <w:rFonts w:ascii="Trebuchet MS" w:eastAsia="Times New Roman" w:hAnsi="Trebuchet MS" w:cs="Times New Roman"/>
          <w:bCs w:val="0"/>
          <w:color w:val="0070C0"/>
          <w:sz w:val="24"/>
          <w:szCs w:val="24"/>
        </w:rPr>
        <w:t>Sesiunea de depunere a SDL</w:t>
      </w:r>
      <w:bookmarkEnd w:id="6"/>
    </w:p>
    <w:p w:rsidR="00A82AC1" w:rsidRPr="00C7049F" w:rsidRDefault="00A82AC1" w:rsidP="001E4356">
      <w:pPr>
        <w:spacing w:after="0"/>
        <w:jc w:val="both"/>
        <w:rPr>
          <w:sz w:val="24"/>
        </w:rPr>
      </w:pPr>
      <w:bookmarkStart w:id="7" w:name="_Toc463254391"/>
      <w:bookmarkStart w:id="8" w:name="_Toc476642097"/>
      <w:r w:rsidRPr="00C7049F">
        <w:rPr>
          <w:sz w:val="24"/>
        </w:rPr>
        <w:t xml:space="preserve">Sesiunea de depunere a SDL se va deschide în data de 14 august 2017. </w:t>
      </w:r>
    </w:p>
    <w:p w:rsidR="00A82AC1" w:rsidRPr="00C7049F" w:rsidRDefault="00A82AC1" w:rsidP="001E4356">
      <w:pPr>
        <w:spacing w:after="0"/>
        <w:jc w:val="both"/>
        <w:rPr>
          <w:sz w:val="24"/>
        </w:rPr>
      </w:pPr>
      <w:r w:rsidRPr="00C7049F">
        <w:rPr>
          <w:sz w:val="24"/>
        </w:rPr>
        <w:t xml:space="preserve">Apelul este de tip competitiv, cu depunere continuă, până la data limită de 13.11.2017, </w:t>
      </w:r>
      <w:r w:rsidR="00902247" w:rsidRPr="00C7049F">
        <w:rPr>
          <w:sz w:val="24"/>
        </w:rPr>
        <w:t>ora</w:t>
      </w:r>
      <w:r w:rsidRPr="00C7049F">
        <w:rPr>
          <w:sz w:val="24"/>
        </w:rPr>
        <w:t xml:space="preserve"> 16.00.</w:t>
      </w:r>
    </w:p>
    <w:p w:rsidR="00E72E5A" w:rsidRPr="00C7049F" w:rsidRDefault="00E72E5A" w:rsidP="001E4356">
      <w:pPr>
        <w:spacing w:after="0"/>
        <w:jc w:val="both"/>
        <w:rPr>
          <w:sz w:val="24"/>
        </w:rPr>
      </w:pPr>
      <w:r w:rsidRPr="00C7049F">
        <w:rPr>
          <w:sz w:val="24"/>
        </w:rPr>
        <w:t xml:space="preserve">Detalii privind deschiderea sesiunii de depunere a SDL vor fi publicate pe </w:t>
      </w:r>
      <w:r w:rsidRPr="00C7049F">
        <w:rPr>
          <w:color w:val="365F91" w:themeColor="accent1" w:themeShade="BF"/>
          <w:sz w:val="24"/>
          <w:u w:val="single"/>
        </w:rPr>
        <w:t>www.fonduri-ue.ro</w:t>
      </w:r>
      <w:r w:rsidRPr="00C7049F">
        <w:rPr>
          <w:sz w:val="24"/>
        </w:rPr>
        <w:t xml:space="preserve">/POCU </w:t>
      </w:r>
      <w:proofErr w:type="spellStart"/>
      <w:r w:rsidRPr="00C7049F">
        <w:rPr>
          <w:sz w:val="24"/>
        </w:rPr>
        <w:t>şi</w:t>
      </w:r>
      <w:proofErr w:type="spellEnd"/>
      <w:r w:rsidRPr="00C7049F">
        <w:rPr>
          <w:sz w:val="24"/>
        </w:rPr>
        <w:t xml:space="preserve"> </w:t>
      </w:r>
      <w:hyperlink r:id="rId8" w:history="1">
        <w:r w:rsidRPr="00C7049F">
          <w:rPr>
            <w:color w:val="365F91" w:themeColor="accent1" w:themeShade="BF"/>
            <w:sz w:val="24"/>
            <w:u w:val="single"/>
          </w:rPr>
          <w:t>www.inforegio.ro</w:t>
        </w:r>
      </w:hyperlink>
      <w:r w:rsidRPr="00C7049F">
        <w:rPr>
          <w:sz w:val="24"/>
        </w:rPr>
        <w:t>.</w:t>
      </w:r>
    </w:p>
    <w:p w:rsidR="00882C9F" w:rsidRPr="00C7049F" w:rsidRDefault="00853B2B" w:rsidP="00902247">
      <w:pPr>
        <w:spacing w:before="60" w:after="60"/>
        <w:jc w:val="both"/>
        <w:rPr>
          <w:sz w:val="24"/>
        </w:rPr>
      </w:pPr>
      <w:r w:rsidRPr="00C7049F">
        <w:rPr>
          <w:sz w:val="24"/>
        </w:rPr>
        <w:t xml:space="preserve">Strategiile DLRC, elaborate cu/fără sprijin pregătitor, se vor depune la sediul </w:t>
      </w:r>
      <w:r w:rsidR="0089593F" w:rsidRPr="00C7049F">
        <w:rPr>
          <w:sz w:val="24"/>
        </w:rPr>
        <w:t>MDRAPFE</w:t>
      </w:r>
      <w:r w:rsidR="00882C9F" w:rsidRPr="00C7049F">
        <w:rPr>
          <w:rFonts w:eastAsia="MS Mincho" w:cs="Arial"/>
          <w:color w:val="244061" w:themeColor="accent1" w:themeShade="80"/>
          <w:sz w:val="24"/>
        </w:rPr>
        <w:t>– DGPSMISCSEPE - sediul din București, …</w:t>
      </w:r>
      <w:r w:rsidR="00902247" w:rsidRPr="00C7049F">
        <w:rPr>
          <w:rFonts w:eastAsia="MS Mincho" w:cs="Arial"/>
          <w:color w:val="244061" w:themeColor="accent1" w:themeShade="80"/>
          <w:sz w:val="24"/>
        </w:rPr>
        <w:t>…</w:t>
      </w:r>
      <w:r w:rsidR="00902247" w:rsidRPr="00C7049F">
        <w:rPr>
          <w:sz w:val="24"/>
        </w:rPr>
        <w:t>…</w:t>
      </w:r>
    </w:p>
    <w:bookmarkEnd w:id="7"/>
    <w:bookmarkEnd w:id="8"/>
    <w:p w:rsidR="008A1774" w:rsidRPr="00C7049F" w:rsidRDefault="008A1774" w:rsidP="001E4356">
      <w:pPr>
        <w:spacing w:after="120"/>
        <w:jc w:val="both"/>
        <w:rPr>
          <w:rFonts w:eastAsia="MS Mincho" w:cs="Arial"/>
          <w:sz w:val="24"/>
        </w:rPr>
      </w:pPr>
      <w:r w:rsidRPr="00C7049F">
        <w:rPr>
          <w:rFonts w:eastAsia="MS Mincho" w:cs="Arial"/>
          <w:noProof/>
          <w:sz w:val="24"/>
          <w:lang w:eastAsia="ro-RO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33020</wp:posOffset>
                </wp:positionV>
                <wp:extent cx="5781675" cy="485775"/>
                <wp:effectExtent l="0" t="0" r="28575" b="2857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81675" cy="48577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A1774" w:rsidRPr="00E05389" w:rsidRDefault="008A1774" w:rsidP="00332845">
                            <w:pPr>
                              <w:spacing w:after="240"/>
                              <w:jc w:val="both"/>
                              <w:rPr>
                                <w:rFonts w:eastAsia="MS Mincho" w:cs="Arial"/>
                                <w:sz w:val="24"/>
                              </w:rPr>
                            </w:pPr>
                            <w:r w:rsidRPr="00E05389">
                              <w:rPr>
                                <w:rFonts w:eastAsia="MS Mincho" w:cs="Arial"/>
                                <w:sz w:val="24"/>
                              </w:rPr>
                              <w:t>Atenție! Nu se acceptă depunerea SDL-urilor în afara termenului precizat în anunțul privind sesiunea de depunere a SDL–urilor în vederea selecției.</w:t>
                            </w:r>
                          </w:p>
                          <w:p w:rsidR="008A1774" w:rsidRDefault="008A177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" o:spid="_x0000_s1030" type="#_x0000_t202" style="position:absolute;left:0;text-align:left;margin-left:0;margin-top:2.6pt;width:455.25pt;height:38.25pt;z-index:25166028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" fillcolor="#dbe5f1 [660]" strokecolor="#4f81bd [3204]" strokeweight="2pt">
                <v:textbox>
                  <w:txbxContent>
                    <w:p w:rsidR="008A1774" w:rsidRPr="00E05389" w:rsidRDefault="008A1774" w:rsidP="00332845">
                      <w:pPr>
                        <w:spacing w:after="240"/>
                        <w:jc w:val="both"/>
                        <w:rPr>
                          <w:rFonts w:eastAsia="MS Mincho" w:cs="Arial"/>
                          <w:sz w:val="24"/>
                        </w:rPr>
                      </w:pPr>
                      <w:r w:rsidRPr="00E05389">
                        <w:rPr>
                          <w:rFonts w:eastAsia="MS Mincho" w:cs="Arial"/>
                          <w:sz w:val="24"/>
                        </w:rPr>
                        <w:t>Atenție! Nu se acceptă depunerea SDL-urilor în afara termenului precizat în anunțul privind sesiunea de depunere a SDL–urilor în vederea selecției.</w:t>
                      </w:r>
                    </w:p>
                    <w:p w:rsidR="008A1774" w:rsidRDefault="008A1774"/>
                  </w:txbxContent>
                </v:textbox>
                <w10:wrap anchorx="margin"/>
              </v:shape>
            </w:pict>
          </mc:Fallback>
        </mc:AlternateContent>
      </w:r>
    </w:p>
    <w:p w:rsidR="008A1774" w:rsidRPr="00C7049F" w:rsidRDefault="008A1774" w:rsidP="001E4356">
      <w:pPr>
        <w:spacing w:after="120"/>
        <w:jc w:val="both"/>
        <w:rPr>
          <w:rFonts w:eastAsia="MS Mincho" w:cs="Arial"/>
          <w:sz w:val="24"/>
        </w:rPr>
      </w:pPr>
    </w:p>
    <w:p w:rsidR="00882C9F" w:rsidRPr="00C7049F" w:rsidRDefault="00882C9F" w:rsidP="006E03F2">
      <w:pPr>
        <w:spacing w:before="60" w:after="60"/>
        <w:jc w:val="both"/>
        <w:rPr>
          <w:rFonts w:eastAsia="MS Mincho" w:cs="Arial"/>
          <w:sz w:val="24"/>
        </w:rPr>
      </w:pPr>
      <w:r w:rsidRPr="00C7049F">
        <w:rPr>
          <w:rFonts w:eastAsia="MS Mincho" w:cs="Arial"/>
          <w:sz w:val="24"/>
        </w:rPr>
        <w:t>Documentele vor fi depuse pe baza unei Scrisori de înaintare semnată de reprezentantul legal al GAL sau de un împuternicit al acest</w:t>
      </w:r>
      <w:r w:rsidR="001F0BB7">
        <w:rPr>
          <w:rFonts w:eastAsia="MS Mincho" w:cs="Arial"/>
          <w:sz w:val="24"/>
        </w:rPr>
        <w:t>uia</w:t>
      </w:r>
      <w:r w:rsidRPr="00C7049F">
        <w:rPr>
          <w:rFonts w:eastAsia="MS Mincho" w:cs="Arial"/>
          <w:sz w:val="24"/>
        </w:rPr>
        <w:t>.</w:t>
      </w:r>
    </w:p>
    <w:p w:rsidR="00882C9F" w:rsidRPr="00C7049F" w:rsidRDefault="00882C9F" w:rsidP="006E03F2">
      <w:pPr>
        <w:spacing w:before="60" w:after="0"/>
        <w:jc w:val="both"/>
        <w:rPr>
          <w:rFonts w:eastAsia="MS Mincho" w:cs="Arial"/>
          <w:b/>
          <w:sz w:val="24"/>
        </w:rPr>
      </w:pPr>
      <w:r w:rsidRPr="00C7049F">
        <w:rPr>
          <w:rFonts w:eastAsia="MS Mincho" w:cs="Arial"/>
          <w:b/>
          <w:sz w:val="24"/>
        </w:rPr>
        <w:t xml:space="preserve">Pot depune o Strategie de Dezvoltare Locală: </w:t>
      </w:r>
    </w:p>
    <w:p w:rsidR="00882C9F" w:rsidRPr="00C7049F" w:rsidRDefault="00882C9F" w:rsidP="00883555">
      <w:pPr>
        <w:tabs>
          <w:tab w:val="left" w:pos="709"/>
        </w:tabs>
        <w:spacing w:after="0"/>
        <w:ind w:firstLine="284"/>
        <w:jc w:val="both"/>
        <w:rPr>
          <w:rFonts w:eastAsia="MS Mincho" w:cs="Arial"/>
          <w:sz w:val="24"/>
        </w:rPr>
      </w:pPr>
      <w:r w:rsidRPr="00C7049F">
        <w:rPr>
          <w:rFonts w:eastAsia="MS Mincho" w:cs="Arial"/>
          <w:sz w:val="24"/>
        </w:rPr>
        <w:t xml:space="preserve">• </w:t>
      </w:r>
      <w:r w:rsidR="00EF6312" w:rsidRPr="00C7049F">
        <w:rPr>
          <w:rFonts w:eastAsia="MS Mincho" w:cs="Arial"/>
          <w:sz w:val="24"/>
        </w:rPr>
        <w:tab/>
      </w:r>
      <w:r w:rsidRPr="00C7049F">
        <w:rPr>
          <w:rFonts w:eastAsia="MS Mincho" w:cs="Arial"/>
          <w:sz w:val="24"/>
        </w:rPr>
        <w:t xml:space="preserve">GAL-urile care au beneficiat de sprijin pregătitor în cadrul apelurilor de proiecte POCU…. </w:t>
      </w:r>
    </w:p>
    <w:p w:rsidR="00882C9F" w:rsidRPr="00C7049F" w:rsidRDefault="00882C9F" w:rsidP="006E03F2">
      <w:pPr>
        <w:spacing w:after="60"/>
        <w:ind w:firstLine="284"/>
        <w:jc w:val="both"/>
        <w:rPr>
          <w:rFonts w:eastAsia="MS Mincho" w:cs="Arial"/>
          <w:sz w:val="24"/>
        </w:rPr>
      </w:pPr>
      <w:r w:rsidRPr="00C7049F">
        <w:rPr>
          <w:rFonts w:eastAsia="MS Mincho" w:cs="Arial"/>
          <w:sz w:val="24"/>
        </w:rPr>
        <w:t xml:space="preserve">• </w:t>
      </w:r>
      <w:r w:rsidR="00EF6312" w:rsidRPr="00C7049F">
        <w:rPr>
          <w:rFonts w:eastAsia="MS Mincho" w:cs="Arial"/>
          <w:sz w:val="24"/>
        </w:rPr>
        <w:tab/>
      </w:r>
      <w:r w:rsidRPr="00C7049F">
        <w:rPr>
          <w:rFonts w:eastAsia="MS Mincho" w:cs="Arial"/>
          <w:sz w:val="24"/>
        </w:rPr>
        <w:t>GAL-urile constituite ca asociație în baza O.G.nr.26/2000 care nu au beneficiat de sprijin pregătitor.</w:t>
      </w:r>
    </w:p>
    <w:p w:rsidR="00882C9F" w:rsidRPr="00C7049F" w:rsidRDefault="00882C9F" w:rsidP="006E03F2">
      <w:pPr>
        <w:spacing w:before="60" w:after="0"/>
        <w:jc w:val="both"/>
        <w:rPr>
          <w:rFonts w:eastAsia="MS Mincho" w:cs="Arial"/>
          <w:b/>
          <w:sz w:val="24"/>
        </w:rPr>
      </w:pPr>
      <w:r w:rsidRPr="00C7049F">
        <w:rPr>
          <w:rFonts w:eastAsia="MS Mincho" w:cs="Arial"/>
          <w:b/>
          <w:sz w:val="24"/>
        </w:rPr>
        <w:t xml:space="preserve">Pachetul pentru depunerea SDL va cuprinde: </w:t>
      </w:r>
    </w:p>
    <w:p w:rsidR="00882C9F" w:rsidRPr="00C7049F" w:rsidRDefault="00882C9F" w:rsidP="008A1774">
      <w:pPr>
        <w:numPr>
          <w:ilvl w:val="0"/>
          <w:numId w:val="92"/>
        </w:numPr>
        <w:spacing w:after="0"/>
        <w:ind w:left="714" w:hanging="357"/>
        <w:jc w:val="both"/>
        <w:rPr>
          <w:rFonts w:eastAsia="MS Mincho" w:cs="Arial"/>
          <w:sz w:val="24"/>
          <w:lang w:eastAsia="x-none"/>
        </w:rPr>
      </w:pPr>
      <w:r w:rsidRPr="00C7049F">
        <w:rPr>
          <w:rFonts w:eastAsia="MS Mincho" w:cs="Arial"/>
          <w:sz w:val="24"/>
          <w:lang w:eastAsia="x-none"/>
        </w:rPr>
        <w:t xml:space="preserve">Scrisoarea de înaintare a SDL (2 exemplare); </w:t>
      </w:r>
    </w:p>
    <w:p w:rsidR="00882C9F" w:rsidRPr="00C7049F" w:rsidRDefault="00882C9F" w:rsidP="00883555">
      <w:pPr>
        <w:numPr>
          <w:ilvl w:val="0"/>
          <w:numId w:val="92"/>
        </w:numPr>
        <w:spacing w:after="0"/>
        <w:ind w:left="714" w:hanging="357"/>
        <w:jc w:val="both"/>
        <w:rPr>
          <w:rFonts w:eastAsia="MS Mincho" w:cs="Arial"/>
          <w:sz w:val="24"/>
          <w:lang w:eastAsia="x-none"/>
        </w:rPr>
      </w:pPr>
      <w:r w:rsidRPr="00C7049F">
        <w:rPr>
          <w:rFonts w:eastAsia="MS Mincho" w:cs="Arial"/>
          <w:sz w:val="24"/>
          <w:lang w:eastAsia="x-none"/>
        </w:rPr>
        <w:t xml:space="preserve">Actul de identitate al persoanei care depune SDL; </w:t>
      </w:r>
    </w:p>
    <w:p w:rsidR="00882C9F" w:rsidRPr="00C7049F" w:rsidRDefault="001F0BB7" w:rsidP="0016705B">
      <w:pPr>
        <w:numPr>
          <w:ilvl w:val="0"/>
          <w:numId w:val="92"/>
        </w:numPr>
        <w:spacing w:after="0"/>
        <w:jc w:val="both"/>
        <w:rPr>
          <w:rFonts w:eastAsia="MS Mincho" w:cs="Arial"/>
          <w:sz w:val="24"/>
          <w:lang w:eastAsia="x-none"/>
        </w:rPr>
      </w:pPr>
      <w:proofErr w:type="spellStart"/>
      <w:r>
        <w:rPr>
          <w:rFonts w:eastAsia="MS Mincho" w:cs="Arial"/>
          <w:sz w:val="24"/>
          <w:lang w:eastAsia="x-none"/>
        </w:rPr>
        <w:t>Imputernicire</w:t>
      </w:r>
      <w:proofErr w:type="spellEnd"/>
      <w:r>
        <w:rPr>
          <w:rFonts w:eastAsia="MS Mincho" w:cs="Arial"/>
          <w:sz w:val="24"/>
          <w:lang w:eastAsia="x-none"/>
        </w:rPr>
        <w:t xml:space="preserve"> a persoanei care depune SDL</w:t>
      </w:r>
      <w:r w:rsidR="0016705B">
        <w:rPr>
          <w:rFonts w:eastAsia="MS Mincho" w:cs="Arial"/>
          <w:sz w:val="24"/>
          <w:lang w:eastAsia="x-none"/>
        </w:rPr>
        <w:t xml:space="preserve">, </w:t>
      </w:r>
      <w:r w:rsidR="00882C9F" w:rsidRPr="00C7049F">
        <w:rPr>
          <w:rFonts w:eastAsia="MS Mincho" w:cs="Arial"/>
          <w:sz w:val="24"/>
          <w:lang w:eastAsia="x-none"/>
        </w:rPr>
        <w:t xml:space="preserve"> dacă este cazul; </w:t>
      </w:r>
    </w:p>
    <w:p w:rsidR="00882C9F" w:rsidRPr="0016705B" w:rsidRDefault="0016705B" w:rsidP="0016705B">
      <w:pPr>
        <w:pStyle w:val="ListParagraph"/>
        <w:numPr>
          <w:ilvl w:val="0"/>
          <w:numId w:val="92"/>
        </w:numPr>
        <w:spacing w:after="0"/>
        <w:ind w:left="714" w:hanging="357"/>
        <w:contextualSpacing w:val="0"/>
        <w:jc w:val="both"/>
        <w:rPr>
          <w:rFonts w:eastAsia="MS Mincho" w:cs="Arial"/>
          <w:sz w:val="24"/>
          <w:lang w:eastAsia="x-none"/>
        </w:rPr>
      </w:pPr>
      <w:r w:rsidRPr="0016705B">
        <w:rPr>
          <w:rFonts w:eastAsia="MS Mincho" w:cs="Arial"/>
          <w:sz w:val="24"/>
          <w:lang w:eastAsia="x-none"/>
        </w:rPr>
        <w:t xml:space="preserve">Un exemplar al SDL cu anexe, pe suport hârtie, și trei exemplare a SDL cu anexe, în format electronic; </w:t>
      </w:r>
    </w:p>
    <w:p w:rsidR="00882C9F" w:rsidRPr="00C7049F" w:rsidRDefault="00882C9F" w:rsidP="00883555">
      <w:pPr>
        <w:numPr>
          <w:ilvl w:val="0"/>
          <w:numId w:val="92"/>
        </w:numPr>
        <w:spacing w:after="0"/>
        <w:jc w:val="both"/>
        <w:rPr>
          <w:rFonts w:eastAsia="MS Mincho" w:cs="Arial"/>
          <w:sz w:val="24"/>
          <w:lang w:eastAsia="x-none"/>
        </w:rPr>
      </w:pPr>
      <w:r w:rsidRPr="00C7049F">
        <w:rPr>
          <w:rFonts w:eastAsia="MS Mincho" w:cs="Arial"/>
          <w:sz w:val="24"/>
          <w:lang w:eastAsia="x-none"/>
        </w:rPr>
        <w:t>OPIS al conținutului SDL și anexelor (cu paginație).</w:t>
      </w:r>
    </w:p>
    <w:p w:rsidR="00882C9F" w:rsidRPr="00C7049F" w:rsidRDefault="00882C9F" w:rsidP="00526263">
      <w:pPr>
        <w:spacing w:before="60" w:after="0"/>
        <w:jc w:val="both"/>
        <w:rPr>
          <w:rFonts w:eastAsia="MS Mincho" w:cs="Arial"/>
          <w:sz w:val="24"/>
          <w:lang w:eastAsia="x-none"/>
        </w:rPr>
      </w:pPr>
      <w:r w:rsidRPr="00C7049F">
        <w:rPr>
          <w:rFonts w:eastAsia="MS Mincho" w:cs="Arial"/>
          <w:sz w:val="24"/>
        </w:rPr>
        <w:t>Un exemplar din Scrisoarea de înaintare a SDL va fi înapoiată deponentului, cu numărul de înregistrare în registrul electronic MDRAPFE - DGPSMISCSEPE.</w:t>
      </w:r>
    </w:p>
    <w:p w:rsidR="00882C9F" w:rsidRPr="00C7049F" w:rsidRDefault="00191606" w:rsidP="00526263">
      <w:pPr>
        <w:spacing w:after="0"/>
        <w:jc w:val="both"/>
        <w:rPr>
          <w:rFonts w:eastAsia="MS Mincho" w:cs="Arial"/>
          <w:sz w:val="24"/>
          <w:lang w:eastAsia="x-none"/>
        </w:rPr>
      </w:pPr>
      <w:r w:rsidRPr="00C7049F">
        <w:rPr>
          <w:rFonts w:eastAsia="MS Mincho" w:cs="Arial"/>
          <w:sz w:val="24"/>
          <w:lang w:eastAsia="x-none"/>
        </w:rPr>
        <w:t xml:space="preserve">Strategiile vor fi evaluate de către un </w:t>
      </w:r>
      <w:r w:rsidR="00883555" w:rsidRPr="00C7049F">
        <w:rPr>
          <w:rFonts w:eastAsia="MS Mincho" w:cs="Arial"/>
          <w:sz w:val="24"/>
          <w:lang w:eastAsia="x-none"/>
        </w:rPr>
        <w:t>Comitet Comun de Selecție (CCS)</w:t>
      </w:r>
      <w:r w:rsidRPr="00C7049F">
        <w:rPr>
          <w:rFonts w:eastAsia="MS Mincho" w:cs="Arial"/>
          <w:sz w:val="24"/>
          <w:lang w:eastAsia="x-none"/>
        </w:rPr>
        <w:t>, conform Anex</w:t>
      </w:r>
      <w:r w:rsidR="00883555" w:rsidRPr="00C7049F">
        <w:rPr>
          <w:rFonts w:eastAsia="MS Mincho" w:cs="Arial"/>
          <w:sz w:val="24"/>
          <w:lang w:eastAsia="x-none"/>
        </w:rPr>
        <w:t>ei 2 – Criterii de selecție SDL.</w:t>
      </w:r>
    </w:p>
    <w:p w:rsidR="00882C9F" w:rsidRPr="00C7049F" w:rsidRDefault="00882C9F" w:rsidP="008A1774">
      <w:pPr>
        <w:pStyle w:val="Heading1"/>
        <w:numPr>
          <w:ilvl w:val="0"/>
          <w:numId w:val="69"/>
        </w:numPr>
        <w:tabs>
          <w:tab w:val="left" w:pos="426"/>
          <w:tab w:val="left" w:pos="567"/>
        </w:tabs>
        <w:spacing w:before="120" w:after="120"/>
        <w:ind w:left="284" w:firstLine="0"/>
        <w:jc w:val="both"/>
        <w:rPr>
          <w:rFonts w:ascii="Trebuchet MS" w:eastAsia="Times New Roman" w:hAnsi="Trebuchet MS" w:cs="Times New Roman"/>
          <w:bCs w:val="0"/>
          <w:color w:val="0070C0"/>
          <w:sz w:val="24"/>
          <w:szCs w:val="24"/>
        </w:rPr>
      </w:pPr>
      <w:bookmarkStart w:id="9" w:name="_Toc483310395"/>
      <w:bookmarkStart w:id="10" w:name="_Toc485991241"/>
      <w:r w:rsidRPr="00C7049F">
        <w:rPr>
          <w:rFonts w:ascii="Trebuchet MS" w:eastAsia="Times New Roman" w:hAnsi="Trebuchet MS" w:cs="Times New Roman"/>
          <w:bCs w:val="0"/>
          <w:color w:val="0070C0"/>
          <w:sz w:val="24"/>
          <w:szCs w:val="24"/>
        </w:rPr>
        <w:t>Verificarea conformității și a eligibilității S</w:t>
      </w:r>
      <w:bookmarkStart w:id="11" w:name="_GoBack"/>
      <w:bookmarkEnd w:id="11"/>
      <w:r w:rsidRPr="00C7049F">
        <w:rPr>
          <w:rFonts w:ascii="Trebuchet MS" w:eastAsia="Times New Roman" w:hAnsi="Trebuchet MS" w:cs="Times New Roman"/>
          <w:bCs w:val="0"/>
          <w:color w:val="0070C0"/>
          <w:sz w:val="24"/>
          <w:szCs w:val="24"/>
        </w:rPr>
        <w:t>DL</w:t>
      </w:r>
      <w:bookmarkEnd w:id="9"/>
      <w:bookmarkEnd w:id="10"/>
    </w:p>
    <w:p w:rsidR="00882C9F" w:rsidRPr="00C7049F" w:rsidRDefault="00882C9F" w:rsidP="00FA36DC">
      <w:pPr>
        <w:tabs>
          <w:tab w:val="left" w:pos="10032"/>
          <w:tab w:val="left" w:pos="10089"/>
        </w:tabs>
        <w:spacing w:after="0"/>
        <w:jc w:val="both"/>
        <w:rPr>
          <w:rFonts w:eastAsia="MS Mincho" w:cs="Arial"/>
          <w:sz w:val="24"/>
        </w:rPr>
      </w:pPr>
      <w:r w:rsidRPr="00C7049F">
        <w:rPr>
          <w:rFonts w:eastAsia="MS Mincho" w:cs="Arial"/>
          <w:sz w:val="24"/>
        </w:rPr>
        <w:t xml:space="preserve">Conformitatea administrativă și eligibilitatea financiară a SDL se verifică la nivelul Secretariatului CCS, conform Criteriilor E0. </w:t>
      </w:r>
    </w:p>
    <w:p w:rsidR="00882C9F" w:rsidRPr="00C7049F" w:rsidRDefault="00882C9F" w:rsidP="00FA36DC">
      <w:pPr>
        <w:tabs>
          <w:tab w:val="left" w:pos="10032"/>
          <w:tab w:val="left" w:pos="10089"/>
        </w:tabs>
        <w:spacing w:after="0"/>
        <w:jc w:val="both"/>
        <w:rPr>
          <w:rFonts w:eastAsia="MS Mincho" w:cs="Arial"/>
          <w:sz w:val="24"/>
        </w:rPr>
      </w:pPr>
      <w:r w:rsidRPr="00C7049F">
        <w:rPr>
          <w:rFonts w:eastAsia="MS Mincho" w:cs="Arial"/>
          <w:sz w:val="24"/>
        </w:rPr>
        <w:t xml:space="preserve">Sistemul de verificare a conformităţii administrative şi a eligibilităţii este de tipul „DA” sau „NU”. Numai SDL-urile care au </w:t>
      </w:r>
      <w:proofErr w:type="spellStart"/>
      <w:r w:rsidRPr="00C7049F">
        <w:rPr>
          <w:rFonts w:eastAsia="MS Mincho" w:cs="Arial"/>
          <w:sz w:val="24"/>
        </w:rPr>
        <w:t>obţinut</w:t>
      </w:r>
      <w:proofErr w:type="spellEnd"/>
      <w:r w:rsidRPr="00C7049F">
        <w:rPr>
          <w:rFonts w:eastAsia="MS Mincho" w:cs="Arial"/>
          <w:sz w:val="24"/>
        </w:rPr>
        <w:t xml:space="preserve"> „DA” la toate criteriile din Grilele de verificare a conformităţii administrative şi a eligibilităţii sunt admise în </w:t>
      </w:r>
      <w:r w:rsidRPr="00C7049F">
        <w:rPr>
          <w:rFonts w:eastAsia="MS Mincho" w:cs="Arial"/>
          <w:sz w:val="24"/>
        </w:rPr>
        <w:lastRenderedPageBreak/>
        <w:t>următoarea etapă a procesului de evaluare, respectiv evaluarea studiului de referință (Criteriile E1) și a parteneriatului</w:t>
      </w:r>
      <w:r w:rsidR="0085534B" w:rsidRPr="00C7049F">
        <w:rPr>
          <w:rFonts w:eastAsia="MS Mincho" w:cs="Arial"/>
          <w:sz w:val="24"/>
        </w:rPr>
        <w:t xml:space="preserve"> (Criteriile E</w:t>
      </w:r>
      <w:r w:rsidRPr="00C7049F">
        <w:rPr>
          <w:rFonts w:eastAsia="MS Mincho" w:cs="Arial"/>
          <w:sz w:val="24"/>
        </w:rPr>
        <w:t>2).</w:t>
      </w:r>
    </w:p>
    <w:p w:rsidR="00882C9F" w:rsidRPr="00C7049F" w:rsidRDefault="00882C9F" w:rsidP="00FA36DC">
      <w:pPr>
        <w:tabs>
          <w:tab w:val="left" w:pos="10032"/>
          <w:tab w:val="left" w:pos="10089"/>
        </w:tabs>
        <w:spacing w:after="0"/>
        <w:jc w:val="both"/>
        <w:rPr>
          <w:rFonts w:eastAsia="MS Mincho" w:cs="Arial"/>
          <w:sz w:val="24"/>
        </w:rPr>
      </w:pPr>
      <w:r w:rsidRPr="00C7049F">
        <w:rPr>
          <w:rFonts w:eastAsia="MS Mincho" w:cs="Arial"/>
          <w:sz w:val="24"/>
        </w:rPr>
        <w:t xml:space="preserve">Dacă evaluatorul consideră că un document/o informaţie lipseşte și nu se poate verifica conformitatea administrativă sau nu este suficient de clară pentru a evalua eligibilitatea financiară, acesta poate solicita clarificări din partea GAL. GAL va transmite clarificările în condiţiile şi termenul limită specificate în scrisoare, dar nu mai târziu de </w:t>
      </w:r>
      <w:r w:rsidRPr="00C7049F">
        <w:rPr>
          <w:rFonts w:eastAsia="MS Mincho" w:cs="Arial"/>
          <w:b/>
          <w:sz w:val="24"/>
        </w:rPr>
        <w:t>3 zile lucrătoare</w:t>
      </w:r>
      <w:r w:rsidRPr="00C7049F">
        <w:rPr>
          <w:rFonts w:eastAsia="MS Mincho" w:cs="Arial"/>
          <w:sz w:val="24"/>
        </w:rPr>
        <w:t xml:space="preserve"> de la transmiterea solicitării, în caz contrar decizia de aprobare/respingere a SDL urmând a fi luată numai pe baza documentelor existente. </w:t>
      </w:r>
    </w:p>
    <w:p w:rsidR="00882C9F" w:rsidRPr="00C7049F" w:rsidRDefault="00882C9F" w:rsidP="00FA36DC">
      <w:pPr>
        <w:tabs>
          <w:tab w:val="left" w:pos="10032"/>
          <w:tab w:val="left" w:pos="10089"/>
        </w:tabs>
        <w:spacing w:after="0"/>
        <w:jc w:val="both"/>
        <w:rPr>
          <w:rFonts w:eastAsia="MS Mincho" w:cs="Arial"/>
          <w:sz w:val="24"/>
        </w:rPr>
      </w:pPr>
      <w:r w:rsidRPr="00C7049F">
        <w:rPr>
          <w:rFonts w:eastAsia="MS Mincho" w:cs="Arial"/>
          <w:sz w:val="24"/>
        </w:rPr>
        <w:t>Pentru SDL-urile elaborate cu sprijin pregătitor POCU, prin îndeplinirea criteriilor de conformitate administrativă și de eligibilitate financiară, sunt validate inclusiv cheltuielile aferente sprijinului pregătitor</w:t>
      </w:r>
      <w:r w:rsidR="0016705B">
        <w:rPr>
          <w:rFonts w:eastAsia="MS Mincho" w:cs="Arial"/>
          <w:sz w:val="24"/>
        </w:rPr>
        <w:t xml:space="preserve"> (Anexa 2 – Criteriile E0)</w:t>
      </w:r>
      <w:r w:rsidRPr="00C7049F">
        <w:rPr>
          <w:rFonts w:eastAsia="MS Mincho" w:cs="Arial"/>
          <w:sz w:val="24"/>
        </w:rPr>
        <w:t xml:space="preserve">. </w:t>
      </w:r>
    </w:p>
    <w:p w:rsidR="00882C9F" w:rsidRPr="00C7049F" w:rsidRDefault="00882C9F" w:rsidP="00FA36DC">
      <w:pPr>
        <w:tabs>
          <w:tab w:val="left" w:pos="10032"/>
          <w:tab w:val="left" w:pos="10089"/>
        </w:tabs>
        <w:spacing w:after="0"/>
        <w:jc w:val="both"/>
        <w:rPr>
          <w:rFonts w:eastAsia="MS Mincho" w:cs="Arial"/>
          <w:b/>
          <w:sz w:val="24"/>
        </w:rPr>
      </w:pPr>
      <w:r w:rsidRPr="00C7049F">
        <w:rPr>
          <w:rFonts w:eastAsia="MS Mincho" w:cs="Arial"/>
          <w:sz w:val="24"/>
        </w:rPr>
        <w:t xml:space="preserve">În cazul în care o SDL a fost declarată neeligibilă, cheltuielile finanțate în cadrul proiectului pentru sprijin pregătitor </w:t>
      </w:r>
      <w:r w:rsidRPr="00C7049F">
        <w:rPr>
          <w:rFonts w:eastAsia="MS Mincho" w:cs="Arial"/>
          <w:b/>
          <w:sz w:val="24"/>
        </w:rPr>
        <w:t>nu vor fi plătite</w:t>
      </w:r>
      <w:r w:rsidRPr="00C7049F">
        <w:rPr>
          <w:rFonts w:eastAsia="MS Mincho" w:cs="Arial"/>
          <w:sz w:val="24"/>
        </w:rPr>
        <w:t xml:space="preserve"> sau, dacă au fost plătite, </w:t>
      </w:r>
      <w:r w:rsidRPr="00C7049F">
        <w:rPr>
          <w:rFonts w:eastAsia="MS Mincho" w:cs="Arial"/>
          <w:b/>
          <w:sz w:val="24"/>
        </w:rPr>
        <w:t>vor fi recuperate în totalitate.</w:t>
      </w:r>
    </w:p>
    <w:p w:rsidR="00882C9F" w:rsidRPr="00C7049F" w:rsidRDefault="004352B7" w:rsidP="00FA36DC">
      <w:pPr>
        <w:spacing w:after="0"/>
        <w:jc w:val="both"/>
        <w:rPr>
          <w:sz w:val="24"/>
        </w:rPr>
      </w:pPr>
      <w:r w:rsidRPr="00C7049F">
        <w:rPr>
          <w:sz w:val="24"/>
        </w:rPr>
        <w:t xml:space="preserve">SDL este declarată eligibilă pentru a intra în etapa de evaluare strategică și operațională doar dacă obține </w:t>
      </w:r>
      <w:r w:rsidR="0085534B" w:rsidRPr="00C7049F">
        <w:rPr>
          <w:sz w:val="24"/>
        </w:rPr>
        <w:t>„</w:t>
      </w:r>
      <w:r w:rsidRPr="00C7049F">
        <w:rPr>
          <w:sz w:val="24"/>
        </w:rPr>
        <w:t>DA</w:t>
      </w:r>
      <w:r w:rsidR="0085534B" w:rsidRPr="00C7049F">
        <w:rPr>
          <w:sz w:val="24"/>
        </w:rPr>
        <w:t>”</w:t>
      </w:r>
      <w:r w:rsidRPr="00C7049F">
        <w:rPr>
          <w:sz w:val="24"/>
        </w:rPr>
        <w:t xml:space="preserve"> la toate criteriile E0 (de conformitate administrativă</w:t>
      </w:r>
      <w:r w:rsidR="009D497A">
        <w:rPr>
          <w:sz w:val="24"/>
        </w:rPr>
        <w:t xml:space="preserve"> si de eligibilitate financiară </w:t>
      </w:r>
      <w:r w:rsidRPr="00C7049F">
        <w:rPr>
          <w:sz w:val="24"/>
        </w:rPr>
        <w:t>/</w:t>
      </w:r>
      <w:r w:rsidR="009D497A">
        <w:rPr>
          <w:sz w:val="24"/>
        </w:rPr>
        <w:t xml:space="preserve"> </w:t>
      </w:r>
      <w:r w:rsidRPr="00C7049F">
        <w:rPr>
          <w:sz w:val="24"/>
        </w:rPr>
        <w:t xml:space="preserve">validare a sprijinului pregătitor – dacă este cazul), E1 (Evaluarea studiului de referință) și E2 (Evaluarea parteneriatului). </w:t>
      </w:r>
    </w:p>
    <w:p w:rsidR="00882C9F" w:rsidRPr="00C7049F" w:rsidRDefault="004352B7" w:rsidP="00660BBC">
      <w:pPr>
        <w:pStyle w:val="Heading1"/>
        <w:numPr>
          <w:ilvl w:val="0"/>
          <w:numId w:val="69"/>
        </w:numPr>
        <w:spacing w:before="120" w:after="120"/>
        <w:ind w:left="782" w:hanging="357"/>
        <w:jc w:val="both"/>
        <w:rPr>
          <w:rFonts w:ascii="Trebuchet MS" w:eastAsia="Times New Roman" w:hAnsi="Trebuchet MS" w:cs="Times New Roman"/>
          <w:bCs w:val="0"/>
          <w:color w:val="0070C0"/>
          <w:sz w:val="24"/>
          <w:szCs w:val="24"/>
        </w:rPr>
      </w:pPr>
      <w:bookmarkStart w:id="12" w:name="_Toc485991242"/>
      <w:r w:rsidRPr="00C7049F">
        <w:rPr>
          <w:rFonts w:ascii="Trebuchet MS" w:eastAsia="Times New Roman" w:hAnsi="Trebuchet MS" w:cs="Times New Roman"/>
          <w:bCs w:val="0"/>
          <w:color w:val="0070C0"/>
          <w:sz w:val="24"/>
          <w:szCs w:val="24"/>
        </w:rPr>
        <w:t>Evaluarea Strategică și Operațională a SDL</w:t>
      </w:r>
      <w:bookmarkEnd w:id="12"/>
    </w:p>
    <w:p w:rsidR="00660BBC" w:rsidRPr="00C7049F" w:rsidRDefault="00981D48" w:rsidP="001E4356">
      <w:pPr>
        <w:spacing w:after="0"/>
        <w:jc w:val="both"/>
        <w:rPr>
          <w:rFonts w:eastAsia="MS Mincho" w:cs="Arial"/>
          <w:i/>
          <w:sz w:val="24"/>
        </w:rPr>
      </w:pPr>
      <w:bookmarkStart w:id="13" w:name="_Toc447713828"/>
      <w:r w:rsidRPr="00C7049F">
        <w:rPr>
          <w:rFonts w:eastAsia="MS Mincho" w:cs="Arial"/>
          <w:sz w:val="24"/>
        </w:rPr>
        <w:t xml:space="preserve">Procesul de evaluare strategică și operațională presupune analiza SDL de către membrii CCS și notarea acesteia din perspectiva criteriilor E3 incluse în </w:t>
      </w:r>
      <w:r w:rsidRPr="00C7049F">
        <w:rPr>
          <w:rFonts w:eastAsia="MS Mincho" w:cs="Arial"/>
          <w:i/>
          <w:sz w:val="24"/>
        </w:rPr>
        <w:t xml:space="preserve">Grila de evaluare.  </w:t>
      </w:r>
      <w:bookmarkStart w:id="14" w:name="_Toc476642100"/>
    </w:p>
    <w:p w:rsidR="00191606" w:rsidRPr="00C7049F" w:rsidRDefault="00191606" w:rsidP="001E4356">
      <w:pPr>
        <w:spacing w:after="0"/>
        <w:jc w:val="both"/>
        <w:rPr>
          <w:sz w:val="24"/>
        </w:rPr>
      </w:pPr>
      <w:r w:rsidRPr="00C7049F">
        <w:rPr>
          <w:b/>
          <w:sz w:val="24"/>
        </w:rPr>
        <w:t xml:space="preserve">Criteriile E3 </w:t>
      </w:r>
      <w:r w:rsidRPr="00C7049F">
        <w:rPr>
          <w:sz w:val="24"/>
        </w:rPr>
        <w:t xml:space="preserve">sunt organizate pe două dimensiuni: </w:t>
      </w:r>
    </w:p>
    <w:p w:rsidR="00660BBC" w:rsidRPr="00C7049F" w:rsidRDefault="00191606" w:rsidP="00660BBC">
      <w:pPr>
        <w:numPr>
          <w:ilvl w:val="0"/>
          <w:numId w:val="92"/>
        </w:numPr>
        <w:spacing w:after="0"/>
        <w:ind w:left="714" w:hanging="357"/>
        <w:jc w:val="both"/>
        <w:rPr>
          <w:sz w:val="24"/>
        </w:rPr>
      </w:pPr>
      <w:r w:rsidRPr="00C7049F">
        <w:rPr>
          <w:sz w:val="24"/>
        </w:rPr>
        <w:t xml:space="preserve">E3A: Dimensiunea strategică și </w:t>
      </w:r>
    </w:p>
    <w:p w:rsidR="00E05389" w:rsidRPr="00C7049F" w:rsidRDefault="00191606" w:rsidP="00660BBC">
      <w:pPr>
        <w:numPr>
          <w:ilvl w:val="0"/>
          <w:numId w:val="92"/>
        </w:numPr>
        <w:spacing w:after="0"/>
        <w:ind w:left="714" w:hanging="357"/>
        <w:jc w:val="both"/>
        <w:rPr>
          <w:sz w:val="24"/>
        </w:rPr>
      </w:pPr>
      <w:r w:rsidRPr="00C7049F">
        <w:rPr>
          <w:sz w:val="24"/>
        </w:rPr>
        <w:t>E3B: Dimensiunea operațională.</w:t>
      </w:r>
    </w:p>
    <w:p w:rsidR="00A75F7A" w:rsidRPr="00C7049F" w:rsidRDefault="00A75F7A" w:rsidP="00731AB1">
      <w:pPr>
        <w:spacing w:before="60" w:after="0"/>
        <w:rPr>
          <w:b/>
          <w:sz w:val="24"/>
        </w:rPr>
      </w:pPr>
      <w:r w:rsidRPr="00C7049F">
        <w:rPr>
          <w:b/>
          <w:sz w:val="24"/>
        </w:rPr>
        <w:t xml:space="preserve">Metoda de calcul a punctajului </w:t>
      </w:r>
      <w:bookmarkEnd w:id="13"/>
      <w:bookmarkEnd w:id="14"/>
    </w:p>
    <w:p w:rsidR="00A75F7A" w:rsidRPr="00C7049F" w:rsidRDefault="00A75F7A" w:rsidP="006E03F2">
      <w:pPr>
        <w:spacing w:after="0"/>
        <w:jc w:val="both"/>
        <w:rPr>
          <w:sz w:val="24"/>
        </w:rPr>
      </w:pPr>
      <w:r w:rsidRPr="00C7049F">
        <w:rPr>
          <w:sz w:val="24"/>
        </w:rPr>
        <w:t xml:space="preserve">Pentru fiecare din cele două dimensiuni de evaluare se calculează câte o notă. În cadrul fiecărei dimensiuni, criteriile incluse dețin pondere egală. Prin urmare, nota pe dimensiune se calculează ca medie aritmetică cu două zecimale, fără rotunjire, din notele pe criteriile incluse. </w:t>
      </w: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2235"/>
        <w:gridCol w:w="2126"/>
        <w:gridCol w:w="3544"/>
        <w:gridCol w:w="1383"/>
      </w:tblGrid>
      <w:tr w:rsidR="00A75F7A" w:rsidRPr="00C7049F" w:rsidTr="00C507A9">
        <w:tc>
          <w:tcPr>
            <w:tcW w:w="2235" w:type="dxa"/>
          </w:tcPr>
          <w:p w:rsidR="00A75F7A" w:rsidRPr="00C7049F" w:rsidRDefault="00A75F7A" w:rsidP="001E4356">
            <w:pPr>
              <w:spacing w:after="0"/>
              <w:rPr>
                <w:b/>
                <w:color w:val="17365D"/>
                <w:sz w:val="24"/>
              </w:rPr>
            </w:pPr>
            <w:r w:rsidRPr="00C7049F">
              <w:rPr>
                <w:b/>
                <w:color w:val="17365D"/>
                <w:sz w:val="24"/>
              </w:rPr>
              <w:t>Dimensiunile de evaluare</w:t>
            </w:r>
          </w:p>
        </w:tc>
        <w:tc>
          <w:tcPr>
            <w:tcW w:w="2126" w:type="dxa"/>
          </w:tcPr>
          <w:p w:rsidR="00A75F7A" w:rsidRPr="00C7049F" w:rsidRDefault="00A75F7A" w:rsidP="001E4356">
            <w:pPr>
              <w:spacing w:after="0"/>
              <w:rPr>
                <w:b/>
                <w:color w:val="17365D"/>
                <w:sz w:val="24"/>
              </w:rPr>
            </w:pPr>
            <w:r w:rsidRPr="00C7049F">
              <w:rPr>
                <w:b/>
                <w:color w:val="17365D"/>
                <w:sz w:val="24"/>
              </w:rPr>
              <w:t>Criteriile incluse</w:t>
            </w:r>
          </w:p>
        </w:tc>
        <w:tc>
          <w:tcPr>
            <w:tcW w:w="3544" w:type="dxa"/>
          </w:tcPr>
          <w:p w:rsidR="00A75F7A" w:rsidRPr="00C7049F" w:rsidRDefault="00A75F7A" w:rsidP="001E4356">
            <w:pPr>
              <w:spacing w:after="0"/>
              <w:rPr>
                <w:b/>
                <w:color w:val="17365D"/>
                <w:sz w:val="24"/>
              </w:rPr>
            </w:pPr>
            <w:r w:rsidRPr="00C7049F">
              <w:rPr>
                <w:b/>
                <w:color w:val="17365D"/>
                <w:sz w:val="24"/>
              </w:rPr>
              <w:t>Calculul notelor pe dimensiune</w:t>
            </w:r>
          </w:p>
        </w:tc>
        <w:tc>
          <w:tcPr>
            <w:tcW w:w="1383" w:type="dxa"/>
          </w:tcPr>
          <w:p w:rsidR="00A75F7A" w:rsidRPr="00C7049F" w:rsidRDefault="00A75F7A" w:rsidP="001E4356">
            <w:pPr>
              <w:spacing w:after="0"/>
              <w:rPr>
                <w:b/>
                <w:color w:val="17365D"/>
                <w:sz w:val="24"/>
              </w:rPr>
            </w:pPr>
            <w:r w:rsidRPr="00C7049F">
              <w:rPr>
                <w:b/>
                <w:color w:val="17365D"/>
                <w:sz w:val="24"/>
              </w:rPr>
              <w:t>Pondere</w:t>
            </w:r>
          </w:p>
        </w:tc>
      </w:tr>
      <w:tr w:rsidR="00A75F7A" w:rsidRPr="00C7049F" w:rsidTr="009A5E72">
        <w:tc>
          <w:tcPr>
            <w:tcW w:w="2235" w:type="dxa"/>
            <w:shd w:val="clear" w:color="auto" w:fill="auto"/>
          </w:tcPr>
          <w:p w:rsidR="00A75F7A" w:rsidRPr="00C7049F" w:rsidRDefault="00A75F7A" w:rsidP="001E4356">
            <w:pPr>
              <w:spacing w:after="0"/>
              <w:rPr>
                <w:color w:val="17365D"/>
                <w:sz w:val="24"/>
              </w:rPr>
            </w:pPr>
            <w:r w:rsidRPr="00C7049F">
              <w:rPr>
                <w:color w:val="17365D"/>
                <w:sz w:val="24"/>
              </w:rPr>
              <w:t>E3A: Dimensiunea strategică</w:t>
            </w:r>
          </w:p>
        </w:tc>
        <w:tc>
          <w:tcPr>
            <w:tcW w:w="2126" w:type="dxa"/>
          </w:tcPr>
          <w:p w:rsidR="00A75F7A" w:rsidRPr="00C7049F" w:rsidRDefault="00A75F7A" w:rsidP="001E4356">
            <w:pPr>
              <w:spacing w:after="0"/>
              <w:rPr>
                <w:color w:val="17365D"/>
                <w:sz w:val="24"/>
              </w:rPr>
            </w:pPr>
            <w:r w:rsidRPr="00C7049F">
              <w:rPr>
                <w:color w:val="17365D"/>
                <w:sz w:val="24"/>
              </w:rPr>
              <w:t>1-</w:t>
            </w:r>
            <w:r w:rsidR="005E3897" w:rsidRPr="00C7049F">
              <w:rPr>
                <w:color w:val="17365D"/>
                <w:sz w:val="24"/>
              </w:rPr>
              <w:t>9</w:t>
            </w:r>
          </w:p>
        </w:tc>
        <w:tc>
          <w:tcPr>
            <w:tcW w:w="3544" w:type="dxa"/>
          </w:tcPr>
          <w:p w:rsidR="00A75F7A" w:rsidRPr="00C7049F" w:rsidRDefault="00A75F7A" w:rsidP="001E4356">
            <w:pPr>
              <w:spacing w:after="0"/>
              <w:rPr>
                <w:color w:val="17365D"/>
                <w:sz w:val="24"/>
              </w:rPr>
            </w:pPr>
            <w:r w:rsidRPr="00C7049F">
              <w:rPr>
                <w:color w:val="17365D"/>
                <w:sz w:val="24"/>
              </w:rPr>
              <w:t xml:space="preserve">Nota 3A = (Nota 1+ ...+ Nota </w:t>
            </w:r>
            <w:r w:rsidR="005E3897" w:rsidRPr="00C7049F">
              <w:rPr>
                <w:color w:val="17365D"/>
                <w:sz w:val="24"/>
              </w:rPr>
              <w:t>9</w:t>
            </w:r>
            <w:r w:rsidRPr="00C7049F">
              <w:rPr>
                <w:color w:val="17365D"/>
                <w:sz w:val="24"/>
              </w:rPr>
              <w:t>)/</w:t>
            </w:r>
            <w:r w:rsidR="005E3897" w:rsidRPr="00C7049F">
              <w:rPr>
                <w:color w:val="17365D"/>
                <w:sz w:val="24"/>
              </w:rPr>
              <w:t>9</w:t>
            </w:r>
          </w:p>
        </w:tc>
        <w:tc>
          <w:tcPr>
            <w:tcW w:w="1383" w:type="dxa"/>
          </w:tcPr>
          <w:p w:rsidR="00A75F7A" w:rsidRPr="00C7049F" w:rsidRDefault="00092B57" w:rsidP="001E4356">
            <w:pPr>
              <w:spacing w:after="0"/>
              <w:rPr>
                <w:color w:val="17365D"/>
                <w:sz w:val="24"/>
              </w:rPr>
            </w:pPr>
            <w:r w:rsidRPr="00C7049F">
              <w:rPr>
                <w:color w:val="17365D"/>
                <w:sz w:val="24"/>
              </w:rPr>
              <w:t>5</w:t>
            </w:r>
            <w:r w:rsidR="00A75F7A" w:rsidRPr="00C7049F">
              <w:rPr>
                <w:color w:val="17365D"/>
                <w:sz w:val="24"/>
              </w:rPr>
              <w:t>0%</w:t>
            </w:r>
          </w:p>
        </w:tc>
      </w:tr>
      <w:tr w:rsidR="00A75F7A" w:rsidRPr="00C7049F" w:rsidTr="009A5E72">
        <w:tc>
          <w:tcPr>
            <w:tcW w:w="2235" w:type="dxa"/>
            <w:shd w:val="clear" w:color="auto" w:fill="auto"/>
          </w:tcPr>
          <w:p w:rsidR="00A75F7A" w:rsidRPr="00C7049F" w:rsidRDefault="00A75F7A" w:rsidP="001E4356">
            <w:pPr>
              <w:pStyle w:val="NoSpacing"/>
              <w:spacing w:line="276" w:lineRule="auto"/>
              <w:rPr>
                <w:color w:val="17365D"/>
                <w:sz w:val="24"/>
              </w:rPr>
            </w:pPr>
            <w:r w:rsidRPr="00C7049F">
              <w:rPr>
                <w:color w:val="17365D"/>
                <w:sz w:val="24"/>
              </w:rPr>
              <w:t>E3B: Dimensiunea operațională</w:t>
            </w:r>
          </w:p>
        </w:tc>
        <w:tc>
          <w:tcPr>
            <w:tcW w:w="2126" w:type="dxa"/>
          </w:tcPr>
          <w:p w:rsidR="00A75F7A" w:rsidRPr="00C7049F" w:rsidRDefault="005E3897" w:rsidP="001E4356">
            <w:pPr>
              <w:spacing w:after="0"/>
              <w:rPr>
                <w:color w:val="17365D"/>
                <w:sz w:val="24"/>
              </w:rPr>
            </w:pPr>
            <w:r w:rsidRPr="00C7049F">
              <w:rPr>
                <w:color w:val="17365D"/>
                <w:sz w:val="24"/>
              </w:rPr>
              <w:t>10</w:t>
            </w:r>
            <w:r w:rsidR="00A75F7A" w:rsidRPr="00C7049F">
              <w:rPr>
                <w:color w:val="17365D"/>
                <w:sz w:val="24"/>
              </w:rPr>
              <w:t>-</w:t>
            </w:r>
            <w:r w:rsidRPr="00C7049F">
              <w:rPr>
                <w:color w:val="17365D"/>
                <w:sz w:val="24"/>
              </w:rPr>
              <w:t>16</w:t>
            </w:r>
          </w:p>
        </w:tc>
        <w:tc>
          <w:tcPr>
            <w:tcW w:w="3544" w:type="dxa"/>
            <w:shd w:val="clear" w:color="auto" w:fill="auto"/>
          </w:tcPr>
          <w:p w:rsidR="00A75F7A" w:rsidRPr="00C7049F" w:rsidRDefault="00A75F7A" w:rsidP="001E4356">
            <w:pPr>
              <w:spacing w:after="0"/>
              <w:rPr>
                <w:color w:val="17365D"/>
                <w:sz w:val="24"/>
              </w:rPr>
            </w:pPr>
            <w:r w:rsidRPr="00C7049F">
              <w:rPr>
                <w:color w:val="17365D"/>
                <w:sz w:val="24"/>
              </w:rPr>
              <w:t>Nota 3B = (Nota 1</w:t>
            </w:r>
            <w:r w:rsidR="005E3897" w:rsidRPr="00C7049F">
              <w:rPr>
                <w:color w:val="17365D"/>
                <w:sz w:val="24"/>
              </w:rPr>
              <w:t>0</w:t>
            </w:r>
            <w:r w:rsidRPr="00C7049F">
              <w:rPr>
                <w:color w:val="17365D"/>
                <w:sz w:val="24"/>
              </w:rPr>
              <w:t>+ ...+ Nota 2</w:t>
            </w:r>
            <w:r w:rsidR="005E3897" w:rsidRPr="00C7049F">
              <w:rPr>
                <w:color w:val="17365D"/>
                <w:sz w:val="24"/>
              </w:rPr>
              <w:t>6</w:t>
            </w:r>
            <w:r w:rsidRPr="00C7049F">
              <w:rPr>
                <w:color w:val="17365D"/>
                <w:sz w:val="24"/>
              </w:rPr>
              <w:t>)/</w:t>
            </w:r>
            <w:r w:rsidR="005E3897" w:rsidRPr="00C7049F">
              <w:rPr>
                <w:color w:val="17365D"/>
                <w:sz w:val="24"/>
              </w:rPr>
              <w:t>7</w:t>
            </w:r>
          </w:p>
        </w:tc>
        <w:tc>
          <w:tcPr>
            <w:tcW w:w="1383" w:type="dxa"/>
          </w:tcPr>
          <w:p w:rsidR="00A75F7A" w:rsidRPr="00C7049F" w:rsidRDefault="00092B57" w:rsidP="001E4356">
            <w:pPr>
              <w:spacing w:after="0"/>
              <w:rPr>
                <w:color w:val="17365D"/>
                <w:sz w:val="24"/>
              </w:rPr>
            </w:pPr>
            <w:r w:rsidRPr="00C7049F">
              <w:rPr>
                <w:color w:val="17365D"/>
                <w:sz w:val="24"/>
              </w:rPr>
              <w:t>5</w:t>
            </w:r>
            <w:r w:rsidR="00A75F7A" w:rsidRPr="00C7049F">
              <w:rPr>
                <w:color w:val="17365D"/>
                <w:sz w:val="24"/>
              </w:rPr>
              <w:t>0%</w:t>
            </w:r>
          </w:p>
        </w:tc>
      </w:tr>
    </w:tbl>
    <w:p w:rsidR="00A75F7A" w:rsidRPr="00C7049F" w:rsidRDefault="00A75F7A" w:rsidP="001E4356">
      <w:pPr>
        <w:spacing w:before="120" w:after="120"/>
        <w:jc w:val="both"/>
        <w:rPr>
          <w:sz w:val="24"/>
        </w:rPr>
      </w:pPr>
      <w:r w:rsidRPr="00C7049F">
        <w:rPr>
          <w:sz w:val="24"/>
        </w:rPr>
        <w:t xml:space="preserve">Punctajul final se calculează ca medie </w:t>
      </w:r>
      <w:r w:rsidR="00092B57" w:rsidRPr="00C7049F">
        <w:rPr>
          <w:sz w:val="24"/>
        </w:rPr>
        <w:t xml:space="preserve">aritmetică </w:t>
      </w:r>
      <w:r w:rsidRPr="00C7049F">
        <w:rPr>
          <w:sz w:val="24"/>
        </w:rPr>
        <w:t>a celor două note pe dimensi</w:t>
      </w:r>
      <w:r w:rsidR="009A5E72" w:rsidRPr="00C7049F">
        <w:rPr>
          <w:sz w:val="24"/>
        </w:rPr>
        <w:t xml:space="preserve">une, conform următoarei </w:t>
      </w:r>
      <w:proofErr w:type="spellStart"/>
      <w:r w:rsidR="009A5E72" w:rsidRPr="00C7049F">
        <w:rPr>
          <w:sz w:val="24"/>
        </w:rPr>
        <w:t>fomule</w:t>
      </w:r>
      <w:proofErr w:type="spellEnd"/>
      <w:r w:rsidR="009A5E72" w:rsidRPr="00C7049F">
        <w:rPr>
          <w:sz w:val="24"/>
        </w:rPr>
        <w:t>:</w:t>
      </w:r>
    </w:p>
    <w:tbl>
      <w:tblPr>
        <w:tblStyle w:val="TableGrid"/>
        <w:tblW w:w="0" w:type="auto"/>
        <w:tblInd w:w="1553" w:type="dxa"/>
        <w:tblLook w:val="04A0" w:firstRow="1" w:lastRow="0" w:firstColumn="1" w:lastColumn="0" w:noHBand="0" w:noVBand="1"/>
      </w:tblPr>
      <w:tblGrid>
        <w:gridCol w:w="4509"/>
      </w:tblGrid>
      <w:tr w:rsidR="009A5E72" w:rsidRPr="00C7049F" w:rsidTr="00332845">
        <w:trPr>
          <w:trHeight w:val="315"/>
        </w:trPr>
        <w:tc>
          <w:tcPr>
            <w:tcW w:w="4509" w:type="dxa"/>
          </w:tcPr>
          <w:p w:rsidR="009A5E72" w:rsidRPr="00C7049F" w:rsidRDefault="009A5E72" w:rsidP="001E4356">
            <w:pPr>
              <w:spacing w:before="60" w:after="60" w:line="276" w:lineRule="auto"/>
              <w:jc w:val="both"/>
              <w:rPr>
                <w:b/>
                <w:sz w:val="24"/>
              </w:rPr>
            </w:pPr>
            <w:r w:rsidRPr="00C7049F">
              <w:rPr>
                <w:b/>
                <w:sz w:val="24"/>
              </w:rPr>
              <w:t xml:space="preserve">Punctaj final = </w:t>
            </w:r>
            <w:r w:rsidR="00092B57" w:rsidRPr="00C7049F">
              <w:rPr>
                <w:b/>
                <w:sz w:val="24"/>
              </w:rPr>
              <w:t>(</w:t>
            </w:r>
            <w:r w:rsidRPr="00C7049F">
              <w:rPr>
                <w:b/>
                <w:sz w:val="24"/>
              </w:rPr>
              <w:t>Nota 3A+ Nota 3B</w:t>
            </w:r>
            <w:r w:rsidR="00092B57" w:rsidRPr="00C7049F">
              <w:rPr>
                <w:b/>
                <w:sz w:val="24"/>
              </w:rPr>
              <w:t>) / 2</w:t>
            </w:r>
          </w:p>
        </w:tc>
      </w:tr>
    </w:tbl>
    <w:p w:rsidR="00A75F7A" w:rsidRPr="00C7049F" w:rsidRDefault="00A75F7A" w:rsidP="00C02A6B">
      <w:pPr>
        <w:spacing w:after="0"/>
        <w:jc w:val="both"/>
        <w:rPr>
          <w:sz w:val="24"/>
        </w:rPr>
      </w:pPr>
      <w:r w:rsidRPr="00C7049F">
        <w:rPr>
          <w:sz w:val="24"/>
        </w:rPr>
        <w:t xml:space="preserve">Punctajul </w:t>
      </w:r>
      <w:r w:rsidR="008D44DF" w:rsidRPr="00C7049F">
        <w:rPr>
          <w:sz w:val="24"/>
        </w:rPr>
        <w:t xml:space="preserve">poate </w:t>
      </w:r>
      <w:r w:rsidRPr="00C7049F">
        <w:rPr>
          <w:sz w:val="24"/>
        </w:rPr>
        <w:t>varia între 1 și 10.</w:t>
      </w:r>
    </w:p>
    <w:p w:rsidR="00191606" w:rsidRPr="00C7049F" w:rsidRDefault="00191606" w:rsidP="00C02A6B">
      <w:pPr>
        <w:spacing w:after="0"/>
        <w:jc w:val="both"/>
        <w:rPr>
          <w:sz w:val="24"/>
        </w:rPr>
      </w:pPr>
      <w:r w:rsidRPr="00C7049F">
        <w:rPr>
          <w:sz w:val="24"/>
        </w:rPr>
        <w:lastRenderedPageBreak/>
        <w:t>Evaluatorii pot solicita clarificări GAL-ului. Se va transmite un singur set de clarificări. GAL va transmite răspunsul la clarificări în maximum 3 zile lucrătoare de la notificare.</w:t>
      </w:r>
    </w:p>
    <w:p w:rsidR="00191606" w:rsidRPr="00C7049F" w:rsidRDefault="00191606" w:rsidP="006E03F2">
      <w:pPr>
        <w:spacing w:after="0"/>
        <w:jc w:val="both"/>
        <w:rPr>
          <w:sz w:val="24"/>
        </w:rPr>
      </w:pPr>
      <w:r w:rsidRPr="00C7049F">
        <w:rPr>
          <w:sz w:val="24"/>
        </w:rPr>
        <w:t>În stabilirea punctajului final, evaluatorii vor lua în considerare atât informațiile transmise în clarificări, cât și informațiile deja existente în SDL.</w:t>
      </w:r>
    </w:p>
    <w:p w:rsidR="00986C4D" w:rsidRPr="00C7049F" w:rsidRDefault="00986C4D" w:rsidP="004F79C4">
      <w:pPr>
        <w:pStyle w:val="Heading1"/>
        <w:numPr>
          <w:ilvl w:val="0"/>
          <w:numId w:val="69"/>
        </w:numPr>
        <w:spacing w:before="120" w:after="120"/>
        <w:ind w:left="782" w:hanging="357"/>
        <w:jc w:val="both"/>
        <w:rPr>
          <w:rFonts w:ascii="Trebuchet MS" w:eastAsia="Times New Roman" w:hAnsi="Trebuchet MS" w:cs="Times New Roman"/>
          <w:bCs w:val="0"/>
          <w:color w:val="0070C0"/>
          <w:sz w:val="24"/>
          <w:szCs w:val="24"/>
        </w:rPr>
      </w:pPr>
      <w:bookmarkStart w:id="15" w:name="_Toc485991243"/>
      <w:r w:rsidRPr="00C7049F">
        <w:rPr>
          <w:rFonts w:ascii="Trebuchet MS" w:eastAsia="Times New Roman" w:hAnsi="Trebuchet MS" w:cs="Times New Roman"/>
          <w:bCs w:val="0"/>
          <w:color w:val="0070C0"/>
          <w:sz w:val="24"/>
          <w:szCs w:val="24"/>
        </w:rPr>
        <w:t>Selecția SDL pentru finanțare</w:t>
      </w:r>
      <w:bookmarkEnd w:id="15"/>
    </w:p>
    <w:p w:rsidR="00986C4D" w:rsidRPr="00C7049F" w:rsidRDefault="00986C4D" w:rsidP="00C02A6B">
      <w:pPr>
        <w:spacing w:after="0"/>
        <w:jc w:val="both"/>
        <w:rPr>
          <w:sz w:val="24"/>
        </w:rPr>
      </w:pPr>
      <w:r w:rsidRPr="00C7049F">
        <w:rPr>
          <w:sz w:val="24"/>
        </w:rPr>
        <w:t>Selecția SDL se va face în ordinea descrescătoare a punctajului obținut, până la epuizarea bugetelor POR/POCU disponibile pentru implementarea proiectelor aferente SDL.</w:t>
      </w:r>
      <w:r w:rsidR="005C7AC9" w:rsidRPr="00C7049F">
        <w:rPr>
          <w:sz w:val="24"/>
        </w:rPr>
        <w:t xml:space="preserve"> </w:t>
      </w:r>
      <w:r w:rsidR="00F467F3" w:rsidRPr="00C7049F">
        <w:rPr>
          <w:sz w:val="24"/>
        </w:rPr>
        <w:t xml:space="preserve">Pentru finanțarea unei SDL este necesară acoperirea ambelor componente din bugetul acesteia, respectiv POR și POCU.  </w:t>
      </w:r>
    </w:p>
    <w:p w:rsidR="00986C4D" w:rsidRPr="00C7049F" w:rsidRDefault="00986C4D" w:rsidP="00C02A6B">
      <w:pPr>
        <w:spacing w:after="0"/>
        <w:jc w:val="both"/>
        <w:rPr>
          <w:sz w:val="24"/>
        </w:rPr>
      </w:pPr>
      <w:r w:rsidRPr="00C7049F">
        <w:rPr>
          <w:sz w:val="24"/>
        </w:rPr>
        <w:t xml:space="preserve">Totodată, pragul minim de calitate a SDL-urilor este nota </w:t>
      </w:r>
      <w:r w:rsidR="00092B57" w:rsidRPr="00C7049F">
        <w:rPr>
          <w:sz w:val="24"/>
        </w:rPr>
        <w:t>5</w:t>
      </w:r>
      <w:r w:rsidRPr="00C7049F">
        <w:rPr>
          <w:sz w:val="24"/>
        </w:rPr>
        <w:t xml:space="preserve">.  Nu vor fi selectate pentru finanțare SDL-uri care au obținut punctaj mai mic de </w:t>
      </w:r>
      <w:r w:rsidR="00276430" w:rsidRPr="00C7049F">
        <w:rPr>
          <w:sz w:val="24"/>
        </w:rPr>
        <w:t>5</w:t>
      </w:r>
      <w:r w:rsidRPr="00C7049F">
        <w:rPr>
          <w:sz w:val="24"/>
        </w:rPr>
        <w:t xml:space="preserve">. </w:t>
      </w:r>
    </w:p>
    <w:p w:rsidR="00CA79F5" w:rsidRPr="00C7049F" w:rsidRDefault="00CA79F5" w:rsidP="00C02A6B">
      <w:pPr>
        <w:spacing w:after="0"/>
        <w:jc w:val="both"/>
        <w:rPr>
          <w:sz w:val="24"/>
        </w:rPr>
      </w:pPr>
      <w:r w:rsidRPr="00C7049F">
        <w:rPr>
          <w:sz w:val="24"/>
        </w:rPr>
        <w:t xml:space="preserve">Rezultatele procesului de evaluare, punctajul final obținut de fiecare SDL și </w:t>
      </w:r>
      <w:r w:rsidR="00113C00" w:rsidRPr="00C7049F">
        <w:rPr>
          <w:sz w:val="24"/>
        </w:rPr>
        <w:t xml:space="preserve">selectarea SDL pentru finanțare </w:t>
      </w:r>
      <w:r w:rsidRPr="00C7049F">
        <w:rPr>
          <w:sz w:val="24"/>
        </w:rPr>
        <w:t xml:space="preserve">se aprobă </w:t>
      </w:r>
      <w:r w:rsidR="00276430" w:rsidRPr="00C7049F">
        <w:rPr>
          <w:sz w:val="24"/>
        </w:rPr>
        <w:t>la nivelul</w:t>
      </w:r>
      <w:r w:rsidR="00905347" w:rsidRPr="00C7049F">
        <w:rPr>
          <w:sz w:val="24"/>
        </w:rPr>
        <w:t xml:space="preserve"> CCS.</w:t>
      </w:r>
      <w:r w:rsidRPr="00C7049F">
        <w:rPr>
          <w:sz w:val="24"/>
        </w:rPr>
        <w:t xml:space="preserve"> </w:t>
      </w:r>
    </w:p>
    <w:p w:rsidR="00A75F7A" w:rsidRPr="00C7049F" w:rsidRDefault="00A75F7A" w:rsidP="004C7740">
      <w:pPr>
        <w:spacing w:before="60" w:after="0"/>
        <w:rPr>
          <w:b/>
          <w:sz w:val="24"/>
        </w:rPr>
      </w:pPr>
      <w:bookmarkStart w:id="16" w:name="_Toc447713829"/>
      <w:bookmarkStart w:id="17" w:name="_Toc476642101"/>
      <w:r w:rsidRPr="00C7049F">
        <w:rPr>
          <w:b/>
          <w:sz w:val="24"/>
        </w:rPr>
        <w:t>Procedura de baraj</w:t>
      </w:r>
      <w:bookmarkEnd w:id="16"/>
      <w:bookmarkEnd w:id="17"/>
    </w:p>
    <w:p w:rsidR="00A75F7A" w:rsidRPr="00C7049F" w:rsidRDefault="00A75F7A" w:rsidP="004C7740">
      <w:pPr>
        <w:spacing w:after="0"/>
        <w:jc w:val="both"/>
        <w:rPr>
          <w:sz w:val="24"/>
        </w:rPr>
      </w:pPr>
      <w:r w:rsidRPr="00C7049F">
        <w:rPr>
          <w:sz w:val="24"/>
        </w:rPr>
        <w:t>În cazul unor punctaje finale egale între două sau mai multe SDL</w:t>
      </w:r>
      <w:r w:rsidR="00781735" w:rsidRPr="00C7049F">
        <w:rPr>
          <w:sz w:val="24"/>
        </w:rPr>
        <w:t xml:space="preserve"> care se află la limita bugetului disponibil</w:t>
      </w:r>
      <w:r w:rsidR="00FF1196" w:rsidRPr="00C7049F">
        <w:rPr>
          <w:sz w:val="24"/>
        </w:rPr>
        <w:t xml:space="preserve"> POR/</w:t>
      </w:r>
      <w:r w:rsidR="00781735" w:rsidRPr="00C7049F">
        <w:rPr>
          <w:sz w:val="24"/>
        </w:rPr>
        <w:t>POCU</w:t>
      </w:r>
      <w:r w:rsidRPr="00C7049F">
        <w:rPr>
          <w:sz w:val="24"/>
        </w:rPr>
        <w:t xml:space="preserve">, </w:t>
      </w:r>
      <w:r w:rsidR="00781735" w:rsidRPr="00C7049F">
        <w:rPr>
          <w:sz w:val="24"/>
        </w:rPr>
        <w:t>departajarea se va face</w:t>
      </w:r>
      <w:r w:rsidRPr="00C7049F">
        <w:rPr>
          <w:sz w:val="24"/>
        </w:rPr>
        <w:t xml:space="preserve"> în </w:t>
      </w:r>
      <w:r w:rsidR="00905347" w:rsidRPr="00C7049F">
        <w:rPr>
          <w:sz w:val="24"/>
        </w:rPr>
        <w:t>ordinea următoarelor criterii:</w:t>
      </w:r>
    </w:p>
    <w:p w:rsidR="00A64EB6" w:rsidRPr="00C7049F" w:rsidRDefault="00A75F7A" w:rsidP="001E4356">
      <w:pPr>
        <w:spacing w:after="0"/>
        <w:ind w:left="284"/>
        <w:jc w:val="both"/>
        <w:rPr>
          <w:sz w:val="24"/>
        </w:rPr>
      </w:pPr>
      <w:r w:rsidRPr="00C7049F">
        <w:rPr>
          <w:sz w:val="24"/>
        </w:rPr>
        <w:t>(</w:t>
      </w:r>
      <w:r w:rsidR="00781735" w:rsidRPr="00C7049F">
        <w:rPr>
          <w:sz w:val="24"/>
        </w:rPr>
        <w:t>a</w:t>
      </w:r>
      <w:r w:rsidRPr="00C7049F">
        <w:rPr>
          <w:sz w:val="24"/>
        </w:rPr>
        <w:t xml:space="preserve">) </w:t>
      </w:r>
      <w:r w:rsidR="00C93188" w:rsidRPr="00C7049F">
        <w:rPr>
          <w:sz w:val="24"/>
        </w:rPr>
        <w:t xml:space="preserve"> Primează </w:t>
      </w:r>
      <w:r w:rsidR="00A64EB6" w:rsidRPr="00C7049F">
        <w:rPr>
          <w:sz w:val="24"/>
        </w:rPr>
        <w:t>SDL</w:t>
      </w:r>
      <w:r w:rsidR="00C93188" w:rsidRPr="00C7049F">
        <w:rPr>
          <w:sz w:val="24"/>
        </w:rPr>
        <w:t>-</w:t>
      </w:r>
      <w:proofErr w:type="spellStart"/>
      <w:r w:rsidR="00C93188" w:rsidRPr="00C7049F">
        <w:rPr>
          <w:sz w:val="24"/>
        </w:rPr>
        <w:t>ul</w:t>
      </w:r>
      <w:proofErr w:type="spellEnd"/>
      <w:r w:rsidR="00A64EB6" w:rsidRPr="00C7049F">
        <w:rPr>
          <w:sz w:val="24"/>
        </w:rPr>
        <w:t xml:space="preserve"> </w:t>
      </w:r>
      <w:r w:rsidR="006A69AB" w:rsidRPr="00C7049F">
        <w:rPr>
          <w:sz w:val="24"/>
        </w:rPr>
        <w:t xml:space="preserve">care vizează </w:t>
      </w:r>
      <w:r w:rsidR="00A64EB6" w:rsidRPr="00C7049F">
        <w:rPr>
          <w:sz w:val="24"/>
        </w:rPr>
        <w:t xml:space="preserve">un oraș care nu mai are propusă o altă SDL admisă la finanțare; </w:t>
      </w:r>
    </w:p>
    <w:p w:rsidR="00A64EB6" w:rsidRPr="00C7049F" w:rsidRDefault="00781735" w:rsidP="001E4356">
      <w:pPr>
        <w:spacing w:after="0"/>
        <w:ind w:left="284"/>
        <w:jc w:val="both"/>
        <w:rPr>
          <w:sz w:val="24"/>
        </w:rPr>
      </w:pPr>
      <w:r w:rsidRPr="00C7049F">
        <w:rPr>
          <w:sz w:val="24"/>
        </w:rPr>
        <w:t>(b)</w:t>
      </w:r>
      <w:r w:rsidR="00A64EB6" w:rsidRPr="00C7049F">
        <w:rPr>
          <w:sz w:val="24"/>
        </w:rPr>
        <w:t xml:space="preserve"> </w:t>
      </w:r>
      <w:r w:rsidR="00C93188" w:rsidRPr="00C7049F">
        <w:rPr>
          <w:sz w:val="24"/>
        </w:rPr>
        <w:t xml:space="preserve">Primează </w:t>
      </w:r>
      <w:r w:rsidR="006A69AB" w:rsidRPr="00C7049F">
        <w:rPr>
          <w:sz w:val="24"/>
        </w:rPr>
        <w:t>SDL-</w:t>
      </w:r>
      <w:proofErr w:type="spellStart"/>
      <w:r w:rsidR="006A69AB" w:rsidRPr="00C7049F">
        <w:rPr>
          <w:sz w:val="24"/>
        </w:rPr>
        <w:t>ul</w:t>
      </w:r>
      <w:proofErr w:type="spellEnd"/>
      <w:r w:rsidR="006A69AB" w:rsidRPr="00C7049F">
        <w:rPr>
          <w:sz w:val="24"/>
        </w:rPr>
        <w:t xml:space="preserve"> care abordează un </w:t>
      </w:r>
      <w:r w:rsidR="00A64EB6" w:rsidRPr="00C7049F">
        <w:rPr>
          <w:sz w:val="24"/>
        </w:rPr>
        <w:t xml:space="preserve">număr </w:t>
      </w:r>
      <w:r w:rsidR="00C93188" w:rsidRPr="00C7049F">
        <w:rPr>
          <w:sz w:val="24"/>
        </w:rPr>
        <w:t xml:space="preserve">mai mare </w:t>
      </w:r>
      <w:r w:rsidR="006A69AB" w:rsidRPr="00C7049F">
        <w:rPr>
          <w:sz w:val="24"/>
        </w:rPr>
        <w:t xml:space="preserve">de </w:t>
      </w:r>
      <w:r w:rsidR="00A64EB6" w:rsidRPr="00C7049F">
        <w:rPr>
          <w:sz w:val="24"/>
        </w:rPr>
        <w:t>persoane aflate în risc de s</w:t>
      </w:r>
      <w:r w:rsidR="00905347" w:rsidRPr="00C7049F">
        <w:rPr>
          <w:sz w:val="24"/>
        </w:rPr>
        <w:t>ă</w:t>
      </w:r>
      <w:r w:rsidR="00A64EB6" w:rsidRPr="00C7049F">
        <w:rPr>
          <w:sz w:val="24"/>
        </w:rPr>
        <w:t>r</w:t>
      </w:r>
      <w:r w:rsidR="00905347" w:rsidRPr="00C7049F">
        <w:rPr>
          <w:sz w:val="24"/>
        </w:rPr>
        <w:t>ă</w:t>
      </w:r>
      <w:r w:rsidR="00A64EB6" w:rsidRPr="00C7049F">
        <w:rPr>
          <w:sz w:val="24"/>
        </w:rPr>
        <w:t>cie</w:t>
      </w:r>
      <w:r w:rsidR="00905347" w:rsidRPr="00C7049F">
        <w:rPr>
          <w:sz w:val="24"/>
        </w:rPr>
        <w:t xml:space="preserve"> sau excluziune socială din ZUM;</w:t>
      </w:r>
    </w:p>
    <w:p w:rsidR="00A75F7A" w:rsidRPr="00C7049F" w:rsidRDefault="00A75F7A" w:rsidP="001E4356">
      <w:pPr>
        <w:spacing w:after="0"/>
        <w:ind w:left="284"/>
        <w:jc w:val="both"/>
        <w:rPr>
          <w:sz w:val="24"/>
        </w:rPr>
      </w:pPr>
      <w:r w:rsidRPr="00C7049F">
        <w:rPr>
          <w:sz w:val="24"/>
        </w:rPr>
        <w:t xml:space="preserve">(c) </w:t>
      </w:r>
      <w:r w:rsidR="00C93188" w:rsidRPr="00C7049F">
        <w:rPr>
          <w:sz w:val="24"/>
        </w:rPr>
        <w:t xml:space="preserve">Primează </w:t>
      </w:r>
      <w:r w:rsidR="00A64EB6" w:rsidRPr="00C7049F">
        <w:rPr>
          <w:sz w:val="24"/>
        </w:rPr>
        <w:t xml:space="preserve">punctajul </w:t>
      </w:r>
      <w:r w:rsidR="00C93188" w:rsidRPr="00C7049F">
        <w:rPr>
          <w:sz w:val="24"/>
        </w:rPr>
        <w:t xml:space="preserve">mai mare </w:t>
      </w:r>
      <w:r w:rsidR="00A64EB6" w:rsidRPr="00C7049F">
        <w:rPr>
          <w:sz w:val="24"/>
        </w:rPr>
        <w:t xml:space="preserve">obținut la </w:t>
      </w:r>
      <w:r w:rsidRPr="00C7049F">
        <w:rPr>
          <w:sz w:val="24"/>
        </w:rPr>
        <w:t xml:space="preserve">evaluarea listei indicative de </w:t>
      </w:r>
      <w:r w:rsidR="00587823">
        <w:rPr>
          <w:sz w:val="24"/>
        </w:rPr>
        <w:t>intervenții</w:t>
      </w:r>
      <w:r w:rsidRPr="00C7049F">
        <w:rPr>
          <w:sz w:val="24"/>
        </w:rPr>
        <w:t xml:space="preserve"> din SDL</w:t>
      </w:r>
      <w:r w:rsidR="00A64EB6" w:rsidRPr="00C7049F">
        <w:rPr>
          <w:sz w:val="24"/>
        </w:rPr>
        <w:t xml:space="preserve"> (criteriul</w:t>
      </w:r>
      <w:r w:rsidR="006E7417" w:rsidRPr="00C7049F">
        <w:rPr>
          <w:sz w:val="24"/>
        </w:rPr>
        <w:t xml:space="preserve"> </w:t>
      </w:r>
      <w:r w:rsidR="00905347" w:rsidRPr="00C7049F">
        <w:rPr>
          <w:sz w:val="24"/>
        </w:rPr>
        <w:t>E 3–</w:t>
      </w:r>
      <w:r w:rsidR="00986C4D" w:rsidRPr="00C7049F">
        <w:rPr>
          <w:sz w:val="24"/>
        </w:rPr>
        <w:t>12)</w:t>
      </w:r>
      <w:r w:rsidR="00C507A9" w:rsidRPr="00C7049F">
        <w:rPr>
          <w:sz w:val="24"/>
        </w:rPr>
        <w:t>.</w:t>
      </w:r>
    </w:p>
    <w:p w:rsidR="00A75F7A" w:rsidRPr="00C7049F" w:rsidRDefault="005938EB" w:rsidP="00332845">
      <w:pPr>
        <w:spacing w:before="60" w:after="0"/>
        <w:rPr>
          <w:b/>
          <w:sz w:val="24"/>
        </w:rPr>
      </w:pPr>
      <w:r w:rsidRPr="00C7049F">
        <w:rPr>
          <w:b/>
          <w:sz w:val="24"/>
        </w:rPr>
        <w:t>Comunicarea rezultatelor</w:t>
      </w:r>
    </w:p>
    <w:p w:rsidR="00A75F7A" w:rsidRPr="00C7049F" w:rsidRDefault="006E7417" w:rsidP="001E4356">
      <w:pPr>
        <w:spacing w:after="0"/>
        <w:jc w:val="both"/>
        <w:rPr>
          <w:sz w:val="24"/>
        </w:rPr>
      </w:pPr>
      <w:r w:rsidRPr="00C7049F">
        <w:rPr>
          <w:sz w:val="24"/>
        </w:rPr>
        <w:t>P</w:t>
      </w:r>
      <w:r w:rsidR="00A75F7A" w:rsidRPr="00C7049F">
        <w:rPr>
          <w:sz w:val="24"/>
        </w:rPr>
        <w:t xml:space="preserve">articipanții la evaluare </w:t>
      </w:r>
      <w:r w:rsidRPr="00C7049F">
        <w:rPr>
          <w:sz w:val="24"/>
        </w:rPr>
        <w:t xml:space="preserve">vor fi notificați prin mail/fax </w:t>
      </w:r>
      <w:r w:rsidR="00A75F7A" w:rsidRPr="00C7049F">
        <w:rPr>
          <w:sz w:val="24"/>
        </w:rPr>
        <w:t xml:space="preserve">asupra rezultatului procesului de evaluare și, dacă e cazul, asupra punctajului final obținut, a poziției obținute în ierarhia rezultatelor și a selectării sau neselectării </w:t>
      </w:r>
      <w:r w:rsidR="00781735" w:rsidRPr="00C7049F">
        <w:rPr>
          <w:sz w:val="24"/>
        </w:rPr>
        <w:t xml:space="preserve">SDL </w:t>
      </w:r>
      <w:r w:rsidR="00A75F7A" w:rsidRPr="00C7049F">
        <w:rPr>
          <w:sz w:val="24"/>
        </w:rPr>
        <w:t>pentru finanța</w:t>
      </w:r>
      <w:r w:rsidR="00C507A9" w:rsidRPr="00C7049F">
        <w:rPr>
          <w:sz w:val="24"/>
        </w:rPr>
        <w:t xml:space="preserve">re. </w:t>
      </w:r>
    </w:p>
    <w:p w:rsidR="00A75F7A" w:rsidRPr="00C7049F" w:rsidRDefault="00A75F7A" w:rsidP="00332845">
      <w:pPr>
        <w:spacing w:before="60" w:after="0"/>
        <w:rPr>
          <w:b/>
          <w:sz w:val="24"/>
        </w:rPr>
      </w:pPr>
      <w:bookmarkStart w:id="18" w:name="_Toc445807227"/>
      <w:bookmarkStart w:id="19" w:name="_Toc445807253"/>
      <w:bookmarkStart w:id="20" w:name="_Toc445808256"/>
      <w:bookmarkStart w:id="21" w:name="_Toc447713831"/>
      <w:bookmarkStart w:id="22" w:name="_Toc476642102"/>
      <w:r w:rsidRPr="00C7049F">
        <w:rPr>
          <w:b/>
          <w:sz w:val="24"/>
        </w:rPr>
        <w:t>Contestații</w:t>
      </w:r>
      <w:bookmarkEnd w:id="18"/>
      <w:bookmarkEnd w:id="19"/>
      <w:bookmarkEnd w:id="20"/>
      <w:bookmarkEnd w:id="21"/>
      <w:bookmarkEnd w:id="22"/>
    </w:p>
    <w:p w:rsidR="00F467F3" w:rsidRPr="00C7049F" w:rsidRDefault="00A75F7A" w:rsidP="00C02A6B">
      <w:pPr>
        <w:spacing w:after="0"/>
        <w:jc w:val="both"/>
        <w:rPr>
          <w:sz w:val="24"/>
        </w:rPr>
      </w:pPr>
      <w:r w:rsidRPr="00C7049F">
        <w:rPr>
          <w:sz w:val="24"/>
        </w:rPr>
        <w:t xml:space="preserve">Rezultatul evaluării poate fi contestat o singură dată. </w:t>
      </w:r>
      <w:r w:rsidR="00F467F3" w:rsidRPr="00C7049F">
        <w:rPr>
          <w:sz w:val="24"/>
        </w:rPr>
        <w:t xml:space="preserve">În cadrul contestațiilor vor fi menționate în clar criteriile ale căror note sunt contestate.  </w:t>
      </w:r>
    </w:p>
    <w:p w:rsidR="000C7878" w:rsidRPr="00C7049F" w:rsidRDefault="000C7878" w:rsidP="00C02A6B">
      <w:pPr>
        <w:spacing w:after="0"/>
        <w:jc w:val="both"/>
        <w:rPr>
          <w:sz w:val="24"/>
        </w:rPr>
      </w:pPr>
      <w:r w:rsidRPr="00C7049F">
        <w:rPr>
          <w:sz w:val="24"/>
        </w:rPr>
        <w:t>Contestațiile pot fi depuse în scris (prin fax, e-mail, la sediul MDRAPFE) în termen de maximum x zile lucrătoare de la primirea notificării oficiale privind rezultatul evaluării și selectarea/ne-selectarea SDL pentru finanțare.</w:t>
      </w:r>
    </w:p>
    <w:p w:rsidR="00A75F7A" w:rsidRPr="00C7049F" w:rsidRDefault="00A75F7A" w:rsidP="00C02A6B">
      <w:pPr>
        <w:spacing w:after="0"/>
        <w:jc w:val="both"/>
        <w:rPr>
          <w:sz w:val="24"/>
        </w:rPr>
      </w:pPr>
      <w:r w:rsidRPr="00C7049F">
        <w:rPr>
          <w:sz w:val="24"/>
        </w:rPr>
        <w:t>Procesul de soluţionare a contestațiilor se desfășoară la nivelul CCS</w:t>
      </w:r>
      <w:r w:rsidR="000C7878" w:rsidRPr="00C7049F">
        <w:rPr>
          <w:sz w:val="24"/>
        </w:rPr>
        <w:t xml:space="preserve">. În acest sens, se va constitui o </w:t>
      </w:r>
      <w:r w:rsidR="000C7878" w:rsidRPr="00C7049F">
        <w:rPr>
          <w:i/>
          <w:sz w:val="24"/>
        </w:rPr>
        <w:t>Comisie de soluționare a contestațiilor</w:t>
      </w:r>
      <w:r w:rsidR="000C7878" w:rsidRPr="00C7049F">
        <w:rPr>
          <w:sz w:val="24"/>
        </w:rPr>
        <w:t xml:space="preserve"> formată din reprezentanți ai instituțiilor membre CCS.</w:t>
      </w:r>
      <w:r w:rsidRPr="00C7049F">
        <w:rPr>
          <w:sz w:val="24"/>
        </w:rPr>
        <w:t xml:space="preserve"> </w:t>
      </w:r>
      <w:r w:rsidR="000C7878" w:rsidRPr="00C7049F">
        <w:rPr>
          <w:sz w:val="24"/>
        </w:rPr>
        <w:t xml:space="preserve">Vor fi reevaluate doar criteriile contestate. Decizia Comisiei este definitivă. </w:t>
      </w:r>
    </w:p>
    <w:p w:rsidR="00A75F7A" w:rsidRPr="00C7049F" w:rsidRDefault="00A75F7A" w:rsidP="00C02A6B">
      <w:pPr>
        <w:spacing w:after="0"/>
        <w:jc w:val="both"/>
        <w:rPr>
          <w:sz w:val="24"/>
        </w:rPr>
      </w:pPr>
      <w:r w:rsidRPr="00C7049F">
        <w:rPr>
          <w:sz w:val="24"/>
        </w:rPr>
        <w:t xml:space="preserve">Termenul estimativ de soluționare a contestației este de </w:t>
      </w:r>
      <w:r w:rsidR="000C7878" w:rsidRPr="00C7049F">
        <w:rPr>
          <w:sz w:val="24"/>
        </w:rPr>
        <w:t xml:space="preserve">x </w:t>
      </w:r>
      <w:r w:rsidRPr="00C7049F">
        <w:rPr>
          <w:sz w:val="24"/>
        </w:rPr>
        <w:t>zile lucrătoare.</w:t>
      </w:r>
    </w:p>
    <w:p w:rsidR="00A75F7A" w:rsidRPr="00E05389" w:rsidRDefault="00A75F7A" w:rsidP="00C02A6B">
      <w:pPr>
        <w:spacing w:after="0"/>
        <w:jc w:val="both"/>
        <w:rPr>
          <w:sz w:val="24"/>
        </w:rPr>
      </w:pPr>
      <w:r w:rsidRPr="00C7049F">
        <w:rPr>
          <w:sz w:val="24"/>
        </w:rPr>
        <w:t xml:space="preserve">Înregistrarea și elaborarea răspunsurilor către contestatari vor fi </w:t>
      </w:r>
      <w:r w:rsidR="002D6980" w:rsidRPr="00C7049F">
        <w:rPr>
          <w:sz w:val="24"/>
        </w:rPr>
        <w:t>realizate de secretariatul CCS.</w:t>
      </w:r>
    </w:p>
    <w:sectPr w:rsidR="00A75F7A" w:rsidRPr="00E05389" w:rsidSect="003C32FC">
      <w:headerReference w:type="default" r:id="rId9"/>
      <w:footerReference w:type="default" r:id="rId10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7DEC" w:rsidRDefault="00A67DEC" w:rsidP="009A1DB0">
      <w:pPr>
        <w:spacing w:after="0"/>
      </w:pPr>
      <w:r>
        <w:separator/>
      </w:r>
    </w:p>
  </w:endnote>
  <w:endnote w:type="continuationSeparator" w:id="0">
    <w:p w:rsidR="00A67DEC" w:rsidRDefault="00A67DEC" w:rsidP="009A1DB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font202">
    <w:altName w:val="MS Mincho"/>
    <w:charset w:val="80"/>
    <w:family w:val="auto"/>
    <w:pitch w:val="variable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4457774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824DDD" w:rsidRDefault="00824DDD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362F8">
          <w:rPr>
            <w:noProof/>
          </w:rPr>
          <w:t>10</w:t>
        </w:r>
        <w:r>
          <w:rPr>
            <w:noProof/>
          </w:rPr>
          <w:fldChar w:fldCharType="end"/>
        </w:r>
      </w:p>
    </w:sdtContent>
  </w:sdt>
  <w:p w:rsidR="00824DDD" w:rsidRDefault="00824DD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7DEC" w:rsidRDefault="00A67DEC" w:rsidP="009A1DB0">
      <w:pPr>
        <w:spacing w:after="0"/>
      </w:pPr>
      <w:r>
        <w:separator/>
      </w:r>
    </w:p>
  </w:footnote>
  <w:footnote w:type="continuationSeparator" w:id="0">
    <w:p w:rsidR="00A67DEC" w:rsidRDefault="00A67DEC" w:rsidP="009A1DB0">
      <w:pPr>
        <w:spacing w:after="0"/>
      </w:pPr>
      <w:r>
        <w:continuationSeparator/>
      </w:r>
    </w:p>
  </w:footnote>
  <w:footnote w:id="1">
    <w:p w:rsidR="00824DDD" w:rsidRPr="0071257C" w:rsidRDefault="00824DDD" w:rsidP="009A1DB0">
      <w:pPr>
        <w:spacing w:after="0"/>
        <w:rPr>
          <w:i/>
          <w:sz w:val="16"/>
          <w:szCs w:val="16"/>
        </w:rPr>
      </w:pPr>
      <w:r w:rsidRPr="0071257C">
        <w:rPr>
          <w:rStyle w:val="FootnoteReference"/>
          <w:i/>
          <w:sz w:val="16"/>
          <w:szCs w:val="16"/>
        </w:rPr>
        <w:footnoteRef/>
      </w:r>
      <w:r w:rsidRPr="0071257C">
        <w:rPr>
          <w:i/>
          <w:sz w:val="16"/>
          <w:szCs w:val="16"/>
        </w:rPr>
        <w:t xml:space="preserve"> A se vedea </w:t>
      </w:r>
      <w:r>
        <w:rPr>
          <w:i/>
          <w:sz w:val="16"/>
          <w:szCs w:val="16"/>
        </w:rPr>
        <w:t xml:space="preserve">Capitolul </w:t>
      </w:r>
      <w:r w:rsidRPr="009C16F1">
        <w:rPr>
          <w:i/>
          <w:sz w:val="16"/>
          <w:szCs w:val="16"/>
        </w:rPr>
        <w:t>2.</w:t>
      </w:r>
      <w:r>
        <w:rPr>
          <w:i/>
          <w:sz w:val="16"/>
          <w:szCs w:val="16"/>
        </w:rPr>
        <w:t xml:space="preserve"> </w:t>
      </w:r>
      <w:r w:rsidRPr="009C16F1">
        <w:rPr>
          <w:i/>
          <w:sz w:val="16"/>
          <w:szCs w:val="16"/>
        </w:rPr>
        <w:t>Identificarea teritoriului vizat de Strategia de Dezvoltare Locală prin abordarea DLRC</w:t>
      </w:r>
      <w:r w:rsidRPr="0071257C">
        <w:rPr>
          <w:i/>
          <w:sz w:val="16"/>
          <w:szCs w:val="16"/>
        </w:rPr>
        <w:t xml:space="preserve"> din cadrul </w:t>
      </w:r>
      <w:r w:rsidRPr="006462B3">
        <w:rPr>
          <w:i/>
          <w:sz w:val="16"/>
          <w:szCs w:val="16"/>
        </w:rPr>
        <w:t>Anexei 1 – Model cadru SDL</w:t>
      </w:r>
    </w:p>
  </w:footnote>
  <w:footnote w:id="2">
    <w:p w:rsidR="00226E26" w:rsidRPr="00455F11" w:rsidRDefault="00226E26" w:rsidP="00226E26">
      <w:pPr>
        <w:pStyle w:val="FootnoteText"/>
        <w:jc w:val="both"/>
      </w:pPr>
      <w:r w:rsidRPr="00455F11">
        <w:rPr>
          <w:rStyle w:val="FootnoteReference"/>
        </w:rPr>
        <w:footnoteRef/>
      </w:r>
      <w:r w:rsidRPr="00455F11">
        <w:t xml:space="preserve"> Cerinţele se aplică atât în cazul accesării sprijinului </w:t>
      </w:r>
      <w:proofErr w:type="spellStart"/>
      <w:r w:rsidRPr="00455F11">
        <w:t>pregatitor</w:t>
      </w:r>
      <w:proofErr w:type="spellEnd"/>
      <w:r w:rsidRPr="00455F11">
        <w:t>, cât și în cazul elaborării/adaptării SDL cu resurse proprii</w:t>
      </w:r>
    </w:p>
  </w:footnote>
  <w:footnote w:id="3">
    <w:p w:rsidR="00455F11" w:rsidRDefault="00455F11">
      <w:pPr>
        <w:pStyle w:val="FootnoteText"/>
      </w:pPr>
      <w:r>
        <w:rPr>
          <w:rStyle w:val="FootnoteReference"/>
        </w:rPr>
        <w:footnoteRef/>
      </w:r>
      <w:r>
        <w:t xml:space="preserve"> Baza de </w:t>
      </w:r>
      <w:proofErr w:type="spellStart"/>
      <w:r>
        <w:t>microdate</w:t>
      </w:r>
      <w:proofErr w:type="spellEnd"/>
      <w:r>
        <w:t xml:space="preserve"> primare va cuprinde </w:t>
      </w:r>
      <w:r w:rsidRPr="00455F11">
        <w:t xml:space="preserve">centralizarea rezultatelor instrumentelor de cercetare aplicate </w:t>
      </w:r>
      <w:r>
        <w:t>î</w:t>
      </w:r>
      <w:r w:rsidRPr="00455F11">
        <w:t>n cadrul studiului de referință</w:t>
      </w:r>
      <w:r>
        <w:t>.</w:t>
      </w:r>
      <w:r w:rsidRPr="00455F11">
        <w:t xml:space="preserve">  </w:t>
      </w:r>
    </w:p>
  </w:footnote>
  <w:footnote w:id="4">
    <w:p w:rsidR="00824DDD" w:rsidRPr="00455F11" w:rsidRDefault="00824DDD">
      <w:pPr>
        <w:pStyle w:val="FootnoteText"/>
      </w:pPr>
      <w:r w:rsidRPr="00455F11">
        <w:rPr>
          <w:rStyle w:val="FootnoteReference"/>
          <w:i/>
        </w:rPr>
        <w:footnoteRef/>
      </w:r>
      <w:r w:rsidRPr="00455F11">
        <w:rPr>
          <w:i/>
        </w:rPr>
        <w:t xml:space="preserve"> </w:t>
      </w:r>
      <w:r w:rsidRPr="00455F11">
        <w:t>Delimitarea ZUM și a teritoriului SDL se face la niv</w:t>
      </w:r>
      <w:r w:rsidR="007120E4" w:rsidRPr="00455F11">
        <w:t>el de străzi și număr, pe baza S</w:t>
      </w:r>
      <w:r w:rsidRPr="00455F11">
        <w:t>tudiului de referință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56709833"/>
      <w:docPartObj>
        <w:docPartGallery w:val="Page Numbers (Margins)"/>
        <w:docPartUnique/>
      </w:docPartObj>
    </w:sdtPr>
    <w:sdtEndPr/>
    <w:sdtContent>
      <w:p w:rsidR="00824DDD" w:rsidRDefault="00824DDD">
        <w:pPr>
          <w:pStyle w:val="Header"/>
        </w:pPr>
        <w:r>
          <w:rPr>
            <w:noProof/>
            <w:lang w:eastAsia="ro-RO"/>
          </w:rPr>
          <mc:AlternateContent>
            <mc:Choice Requires="wps">
              <w:drawing>
                <wp:anchor distT="0" distB="0" distL="114300" distR="114300" simplePos="0" relativeHeight="251658240" behindDoc="0" locked="0" layoutInCell="0" allowOverlap="1" wp14:anchorId="3D51A3FA" wp14:editId="000C8DBC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0" b="0"/>
                  <wp:wrapNone/>
                  <wp:docPr id="573" name="Rectangle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24DDD" w:rsidRDefault="00824DDD">
                              <w:pPr>
                                <w:pStyle w:val="Footer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3D51A3FA" id="Rectangle 3" o:spid="_x0000_s1031" style="position:absolute;margin-left:0;margin-top:0;width:40.2pt;height:171.9pt;z-index:251658240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" o:allowincell="f" filled="f" stroked="f">
                  <v:textbox style="layout-flow:vertical;mso-layout-flow-alt:bottom-to-top;mso-fit-shape-to-text:t">
                    <w:txbxContent>
                      <w:p w:rsidR="00824DDD" w:rsidRDefault="00824DDD">
                        <w:pPr>
                          <w:pStyle w:val="Footer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w14:anchorId="0A18603D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mso3FB1"/>
      </v:shape>
    </w:pict>
  </w:numPicBullet>
  <w:abstractNum w:abstractNumId="0" w15:restartNumberingAfterBreak="0">
    <w:nsid w:val="FFFFFFFE"/>
    <w:multiLevelType w:val="singleLevel"/>
    <w:tmpl w:val="C9BE3114"/>
    <w:lvl w:ilvl="0">
      <w:numFmt w:val="decimal"/>
      <w:lvlText w:val="*"/>
      <w:lvlJc w:val="left"/>
    </w:lvl>
  </w:abstractNum>
  <w:abstractNum w:abstractNumId="1" w15:restartNumberingAfterBreak="0">
    <w:nsid w:val="001969C3"/>
    <w:multiLevelType w:val="hybridMultilevel"/>
    <w:tmpl w:val="3D16FE70"/>
    <w:lvl w:ilvl="0" w:tplc="0418000D">
      <w:start w:val="1"/>
      <w:numFmt w:val="bullet"/>
      <w:lvlText w:val=""/>
      <w:lvlJc w:val="left"/>
      <w:pPr>
        <w:ind w:left="788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2" w15:restartNumberingAfterBreak="0">
    <w:nsid w:val="005C7D6C"/>
    <w:multiLevelType w:val="hybridMultilevel"/>
    <w:tmpl w:val="61D0FB36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1A248A0"/>
    <w:multiLevelType w:val="hybridMultilevel"/>
    <w:tmpl w:val="233ADBE2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32B292">
      <w:start w:val="1"/>
      <w:numFmt w:val="bullet"/>
      <w:lvlText w:val="-"/>
      <w:lvlJc w:val="left"/>
      <w:pPr>
        <w:ind w:left="1440" w:hanging="360"/>
      </w:pPr>
      <w:rPr>
        <w:rFonts w:ascii="Calibri" w:eastAsia="Times New Roman" w:hAnsi="Calibri" w:hint="default"/>
        <w:color w:val="auto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3EC2C50"/>
    <w:multiLevelType w:val="hybridMultilevel"/>
    <w:tmpl w:val="407421DC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7C36482"/>
    <w:multiLevelType w:val="hybridMultilevel"/>
    <w:tmpl w:val="50BE08FE"/>
    <w:lvl w:ilvl="0" w:tplc="38C2D876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9F94054"/>
    <w:multiLevelType w:val="hybridMultilevel"/>
    <w:tmpl w:val="1EC830C2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CA6CA6"/>
    <w:multiLevelType w:val="hybridMultilevel"/>
    <w:tmpl w:val="9CFC203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DB176C9"/>
    <w:multiLevelType w:val="hybridMultilevel"/>
    <w:tmpl w:val="9A30BDB8"/>
    <w:lvl w:ilvl="0" w:tplc="D220C940">
      <w:start w:val="1"/>
      <w:numFmt w:val="bullet"/>
      <w:lvlText w:val=""/>
      <w:lvlJc w:val="left"/>
      <w:pPr>
        <w:ind w:left="1637" w:hanging="360"/>
      </w:pPr>
      <w:rPr>
        <w:rFonts w:ascii="Wingdings" w:hAnsi="Wingdings" w:hint="default"/>
        <w:color w:val="auto"/>
      </w:rPr>
    </w:lvl>
    <w:lvl w:ilvl="1" w:tplc="04180007">
      <w:start w:val="1"/>
      <w:numFmt w:val="bullet"/>
      <w:lvlText w:val=""/>
      <w:lvlPicBulletId w:val="0"/>
      <w:lvlJc w:val="left"/>
      <w:pPr>
        <w:ind w:left="2149" w:hanging="360"/>
      </w:pPr>
      <w:rPr>
        <w:rFonts w:ascii="Symbol" w:hAnsi="Symbol" w:hint="default"/>
      </w:rPr>
    </w:lvl>
    <w:lvl w:ilvl="2" w:tplc="0418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0ECE16A9"/>
    <w:multiLevelType w:val="multilevel"/>
    <w:tmpl w:val="FE1616B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00B1CBF"/>
    <w:multiLevelType w:val="hybridMultilevel"/>
    <w:tmpl w:val="1A6E41C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0995F20"/>
    <w:multiLevelType w:val="hybridMultilevel"/>
    <w:tmpl w:val="95F085CE"/>
    <w:lvl w:ilvl="0" w:tplc="0418000B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</w:rPr>
    </w:lvl>
    <w:lvl w:ilvl="1" w:tplc="2E3C2B9A">
      <w:numFmt w:val="bullet"/>
      <w:lvlText w:val="-"/>
      <w:lvlJc w:val="left"/>
      <w:pPr>
        <w:ind w:left="1506" w:hanging="360"/>
      </w:pPr>
      <w:rPr>
        <w:rFonts w:ascii="Calibri" w:eastAsia="Times New Roman" w:hAnsi="Calibri" w:cs="Times New Roman" w:hint="default"/>
      </w:rPr>
    </w:lvl>
    <w:lvl w:ilvl="2" w:tplc="55E80DBE">
      <w:numFmt w:val="bullet"/>
      <w:lvlText w:val="•"/>
      <w:lvlJc w:val="left"/>
      <w:pPr>
        <w:ind w:left="2751" w:hanging="705"/>
      </w:pPr>
      <w:rPr>
        <w:rFonts w:ascii="Calibri" w:eastAsia="Times New Roman" w:hAnsi="Calibri" w:cs="Times New Roman" w:hint="default"/>
      </w:rPr>
    </w:lvl>
    <w:lvl w:ilvl="3" w:tplc="0418000F" w:tentative="1">
      <w:start w:val="1"/>
      <w:numFmt w:val="decimal"/>
      <w:lvlText w:val="%4."/>
      <w:lvlJc w:val="left"/>
      <w:pPr>
        <w:ind w:left="2946" w:hanging="360"/>
      </w:pPr>
    </w:lvl>
    <w:lvl w:ilvl="4" w:tplc="04180019" w:tentative="1">
      <w:start w:val="1"/>
      <w:numFmt w:val="lowerLetter"/>
      <w:lvlText w:val="%5."/>
      <w:lvlJc w:val="left"/>
      <w:pPr>
        <w:ind w:left="3666" w:hanging="360"/>
      </w:pPr>
    </w:lvl>
    <w:lvl w:ilvl="5" w:tplc="0418001B" w:tentative="1">
      <w:start w:val="1"/>
      <w:numFmt w:val="lowerRoman"/>
      <w:lvlText w:val="%6."/>
      <w:lvlJc w:val="right"/>
      <w:pPr>
        <w:ind w:left="4386" w:hanging="180"/>
      </w:pPr>
    </w:lvl>
    <w:lvl w:ilvl="6" w:tplc="0418000F" w:tentative="1">
      <w:start w:val="1"/>
      <w:numFmt w:val="decimal"/>
      <w:lvlText w:val="%7."/>
      <w:lvlJc w:val="left"/>
      <w:pPr>
        <w:ind w:left="5106" w:hanging="360"/>
      </w:pPr>
    </w:lvl>
    <w:lvl w:ilvl="7" w:tplc="04180019" w:tentative="1">
      <w:start w:val="1"/>
      <w:numFmt w:val="lowerLetter"/>
      <w:lvlText w:val="%8."/>
      <w:lvlJc w:val="left"/>
      <w:pPr>
        <w:ind w:left="5826" w:hanging="360"/>
      </w:pPr>
    </w:lvl>
    <w:lvl w:ilvl="8" w:tplc="0418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10FA6D66"/>
    <w:multiLevelType w:val="hybridMultilevel"/>
    <w:tmpl w:val="83CCB406"/>
    <w:lvl w:ilvl="0" w:tplc="C7382E7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13A223B"/>
    <w:multiLevelType w:val="hybridMultilevel"/>
    <w:tmpl w:val="40543634"/>
    <w:lvl w:ilvl="0" w:tplc="0418000D">
      <w:start w:val="1"/>
      <w:numFmt w:val="bullet"/>
      <w:lvlText w:val=""/>
      <w:lvlJc w:val="left"/>
      <w:pPr>
        <w:ind w:left="1288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4" w15:restartNumberingAfterBreak="0">
    <w:nsid w:val="117E332C"/>
    <w:multiLevelType w:val="hybridMultilevel"/>
    <w:tmpl w:val="D7C05EDC"/>
    <w:lvl w:ilvl="0" w:tplc="38C2D876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2503F1D"/>
    <w:multiLevelType w:val="hybridMultilevel"/>
    <w:tmpl w:val="E7E61F1A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4C3298F"/>
    <w:multiLevelType w:val="multilevel"/>
    <w:tmpl w:val="359ADB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177A5302"/>
    <w:multiLevelType w:val="hybridMultilevel"/>
    <w:tmpl w:val="5DBA471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7C04EA0"/>
    <w:multiLevelType w:val="hybridMultilevel"/>
    <w:tmpl w:val="1194C742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85C2DB4"/>
    <w:multiLevelType w:val="hybridMultilevel"/>
    <w:tmpl w:val="D1E2568E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B7F17AB"/>
    <w:multiLevelType w:val="hybridMultilevel"/>
    <w:tmpl w:val="83E2E252"/>
    <w:lvl w:ilvl="0" w:tplc="38C2D876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C580610"/>
    <w:multiLevelType w:val="hybridMultilevel"/>
    <w:tmpl w:val="73E6CF42"/>
    <w:lvl w:ilvl="0" w:tplc="0418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1C74406B"/>
    <w:multiLevelType w:val="hybridMultilevel"/>
    <w:tmpl w:val="0D2A636C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D573A53"/>
    <w:multiLevelType w:val="hybridMultilevel"/>
    <w:tmpl w:val="6DC6CBEC"/>
    <w:lvl w:ilvl="0" w:tplc="0418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4" w15:restartNumberingAfterBreak="0">
    <w:nsid w:val="1DEE628F"/>
    <w:multiLevelType w:val="hybridMultilevel"/>
    <w:tmpl w:val="92A2C0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1D22D93"/>
    <w:multiLevelType w:val="hybridMultilevel"/>
    <w:tmpl w:val="579EA20A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4EC1A84"/>
    <w:multiLevelType w:val="hybridMultilevel"/>
    <w:tmpl w:val="3076A952"/>
    <w:lvl w:ilvl="0" w:tplc="04180019">
      <w:start w:val="1"/>
      <w:numFmt w:val="lowerLetter"/>
      <w:lvlText w:val="%1."/>
      <w:lvlJc w:val="left"/>
      <w:pPr>
        <w:ind w:left="502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6BD610A"/>
    <w:multiLevelType w:val="hybridMultilevel"/>
    <w:tmpl w:val="06D4488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77209E9"/>
    <w:multiLevelType w:val="hybridMultilevel"/>
    <w:tmpl w:val="9CCE163A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7D602FA"/>
    <w:multiLevelType w:val="hybridMultilevel"/>
    <w:tmpl w:val="D326FA2A"/>
    <w:lvl w:ilvl="0" w:tplc="146014B0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28143F0E"/>
    <w:multiLevelType w:val="hybridMultilevel"/>
    <w:tmpl w:val="3CEA5848"/>
    <w:lvl w:ilvl="0" w:tplc="D220C94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29513C23"/>
    <w:multiLevelType w:val="hybridMultilevel"/>
    <w:tmpl w:val="7F7063E4"/>
    <w:lvl w:ilvl="0" w:tplc="0418000B">
      <w:start w:val="1"/>
      <w:numFmt w:val="bullet"/>
      <w:lvlText w:val=""/>
      <w:lvlJc w:val="left"/>
      <w:pPr>
        <w:tabs>
          <w:tab w:val="num" w:pos="1212"/>
        </w:tabs>
        <w:ind w:left="1212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932"/>
        </w:tabs>
        <w:ind w:left="1932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652"/>
        </w:tabs>
        <w:ind w:left="2652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3372"/>
        </w:tabs>
        <w:ind w:left="3372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4092"/>
        </w:tabs>
        <w:ind w:left="4092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812"/>
        </w:tabs>
        <w:ind w:left="4812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532"/>
        </w:tabs>
        <w:ind w:left="5532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6252"/>
        </w:tabs>
        <w:ind w:left="6252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972"/>
        </w:tabs>
        <w:ind w:left="6972" w:hanging="360"/>
      </w:pPr>
      <w:rPr>
        <w:rFonts w:ascii="Wingdings" w:hAnsi="Wingdings" w:hint="default"/>
      </w:rPr>
    </w:lvl>
  </w:abstractNum>
  <w:abstractNum w:abstractNumId="32" w15:restartNumberingAfterBreak="0">
    <w:nsid w:val="2B7D22B1"/>
    <w:multiLevelType w:val="hybridMultilevel"/>
    <w:tmpl w:val="30B036A6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2BBB5F08"/>
    <w:multiLevelType w:val="hybridMultilevel"/>
    <w:tmpl w:val="4B183106"/>
    <w:lvl w:ilvl="0" w:tplc="04180001">
      <w:start w:val="1"/>
      <w:numFmt w:val="bullet"/>
      <w:lvlText w:val=""/>
      <w:lvlJc w:val="left"/>
      <w:pPr>
        <w:ind w:left="60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2D043B39"/>
    <w:multiLevelType w:val="hybridMultilevel"/>
    <w:tmpl w:val="114E2894"/>
    <w:lvl w:ilvl="0" w:tplc="0418000F">
      <w:start w:val="1"/>
      <w:numFmt w:val="decimal"/>
      <w:lvlText w:val="%1."/>
      <w:lvlJc w:val="left"/>
      <w:pPr>
        <w:ind w:left="928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D723237"/>
    <w:multiLevelType w:val="multilevel"/>
    <w:tmpl w:val="45A09F2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2DA550C6"/>
    <w:multiLevelType w:val="hybridMultilevel"/>
    <w:tmpl w:val="1F8CAD36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2E8275AC"/>
    <w:multiLevelType w:val="multilevel"/>
    <w:tmpl w:val="19787C64"/>
    <w:lvl w:ilvl="0">
      <w:start w:val="1"/>
      <w:numFmt w:val="decimal"/>
      <w:lvlText w:val="%1."/>
      <w:lvlJc w:val="left"/>
      <w:pPr>
        <w:ind w:left="928" w:hanging="360"/>
      </w:pPr>
      <w:rPr>
        <w:rFonts w:ascii="Trebuchet MS" w:eastAsia="Calibri" w:hAnsi="Trebuchet MS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2C8578A"/>
    <w:multiLevelType w:val="hybridMultilevel"/>
    <w:tmpl w:val="C720D200"/>
    <w:lvl w:ilvl="0" w:tplc="F3186C0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33EE6AEF"/>
    <w:multiLevelType w:val="hybridMultilevel"/>
    <w:tmpl w:val="24E4A804"/>
    <w:lvl w:ilvl="0" w:tplc="38C2D876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34974E83"/>
    <w:multiLevelType w:val="hybridMultilevel"/>
    <w:tmpl w:val="F8AA5C64"/>
    <w:lvl w:ilvl="0" w:tplc="AE986B9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DC821796">
      <w:start w:val="1"/>
      <w:numFmt w:val="lowerLetter"/>
      <w:lvlText w:val="%2)"/>
      <w:lvlJc w:val="left"/>
      <w:pPr>
        <w:ind w:left="1515" w:hanging="435"/>
      </w:pPr>
      <w:rPr>
        <w:rFonts w:hint="default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54A2412"/>
    <w:multiLevelType w:val="hybridMultilevel"/>
    <w:tmpl w:val="E406430C"/>
    <w:lvl w:ilvl="0" w:tplc="0418000D">
      <w:start w:val="1"/>
      <w:numFmt w:val="bullet"/>
      <w:lvlText w:val=""/>
      <w:lvlJc w:val="left"/>
      <w:pPr>
        <w:ind w:left="1288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42" w15:restartNumberingAfterBreak="0">
    <w:nsid w:val="37062D0E"/>
    <w:multiLevelType w:val="hybridMultilevel"/>
    <w:tmpl w:val="5BCC0148"/>
    <w:lvl w:ilvl="0" w:tplc="D220C94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3AE6393D"/>
    <w:multiLevelType w:val="hybridMultilevel"/>
    <w:tmpl w:val="6060B190"/>
    <w:lvl w:ilvl="0" w:tplc="621C2C58">
      <w:start w:val="1"/>
      <w:numFmt w:val="bullet"/>
      <w:lvlText w:val=""/>
      <w:lvlJc w:val="left"/>
      <w:pPr>
        <w:ind w:left="786" w:hanging="360"/>
      </w:pPr>
      <w:rPr>
        <w:rFonts w:ascii="Wingdings" w:hAnsi="Wingdings" w:hint="default"/>
        <w:b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3B4160F9"/>
    <w:multiLevelType w:val="hybridMultilevel"/>
    <w:tmpl w:val="7BA4A180"/>
    <w:lvl w:ilvl="0" w:tplc="146014B0">
      <w:start w:val="1"/>
      <w:numFmt w:val="bullet"/>
      <w:lvlText w:val=""/>
      <w:lvlJc w:val="left"/>
      <w:pPr>
        <w:tabs>
          <w:tab w:val="num" w:pos="360"/>
        </w:tabs>
        <w:ind w:left="360" w:hanging="360"/>
      </w:pPr>
      <w:rPr>
        <w:rFonts w:ascii="Wingdings 3" w:hAnsi="Wingdings 3" w:hint="default"/>
        <w:color w:val="FFC000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3CF11910"/>
    <w:multiLevelType w:val="multilevel"/>
    <w:tmpl w:val="3AE019F8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 w15:restartNumberingAfterBreak="0">
    <w:nsid w:val="3D27347B"/>
    <w:multiLevelType w:val="hybridMultilevel"/>
    <w:tmpl w:val="E4E60E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3DBD4C24"/>
    <w:multiLevelType w:val="hybridMultilevel"/>
    <w:tmpl w:val="9FA023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3F8B748C"/>
    <w:multiLevelType w:val="hybridMultilevel"/>
    <w:tmpl w:val="FEE08D3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40704A01"/>
    <w:multiLevelType w:val="hybridMultilevel"/>
    <w:tmpl w:val="2B943E06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1866F9A"/>
    <w:multiLevelType w:val="hybridMultilevel"/>
    <w:tmpl w:val="90C690D2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3445964"/>
    <w:multiLevelType w:val="hybridMultilevel"/>
    <w:tmpl w:val="A8265B54"/>
    <w:lvl w:ilvl="0" w:tplc="04180019">
      <w:start w:val="1"/>
      <w:numFmt w:val="lowerLetter"/>
      <w:lvlText w:val="%1.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3E60FB7"/>
    <w:multiLevelType w:val="hybridMultilevel"/>
    <w:tmpl w:val="ED36F9C2"/>
    <w:lvl w:ilvl="0" w:tplc="DF2E6672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80013">
      <w:start w:val="1"/>
      <w:numFmt w:val="upperRoman"/>
      <w:lvlText w:val="%2."/>
      <w:lvlJc w:val="righ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45517FB4"/>
    <w:multiLevelType w:val="hybridMultilevel"/>
    <w:tmpl w:val="DC48306E"/>
    <w:lvl w:ilvl="0" w:tplc="38C2D876">
      <w:numFmt w:val="bullet"/>
      <w:lvlText w:val="-"/>
      <w:lvlJc w:val="left"/>
      <w:pPr>
        <w:ind w:left="108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4" w15:restartNumberingAfterBreak="0">
    <w:nsid w:val="4A10119F"/>
    <w:multiLevelType w:val="hybridMultilevel"/>
    <w:tmpl w:val="7DCEDD7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4C147008"/>
    <w:multiLevelType w:val="hybridMultilevel"/>
    <w:tmpl w:val="66AE9AD6"/>
    <w:lvl w:ilvl="0" w:tplc="38C2D876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4CC97532"/>
    <w:multiLevelType w:val="hybridMultilevel"/>
    <w:tmpl w:val="FD56705E"/>
    <w:lvl w:ilvl="0" w:tplc="0418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2E3C2B9A">
      <w:numFmt w:val="bullet"/>
      <w:lvlText w:val="-"/>
      <w:lvlJc w:val="left"/>
      <w:pPr>
        <w:ind w:left="1506" w:hanging="360"/>
      </w:pPr>
      <w:rPr>
        <w:rFonts w:ascii="Calibri" w:eastAsia="Times New Roman" w:hAnsi="Calibri" w:cs="Times New Roman" w:hint="default"/>
      </w:rPr>
    </w:lvl>
    <w:lvl w:ilvl="2" w:tplc="55E80DBE">
      <w:numFmt w:val="bullet"/>
      <w:lvlText w:val="•"/>
      <w:lvlJc w:val="left"/>
      <w:pPr>
        <w:ind w:left="2751" w:hanging="705"/>
      </w:pPr>
      <w:rPr>
        <w:rFonts w:ascii="Calibri" w:eastAsia="Times New Roman" w:hAnsi="Calibri" w:cs="Times New Roman" w:hint="default"/>
      </w:rPr>
    </w:lvl>
    <w:lvl w:ilvl="3" w:tplc="0418000F" w:tentative="1">
      <w:start w:val="1"/>
      <w:numFmt w:val="decimal"/>
      <w:lvlText w:val="%4."/>
      <w:lvlJc w:val="left"/>
      <w:pPr>
        <w:ind w:left="2946" w:hanging="360"/>
      </w:pPr>
    </w:lvl>
    <w:lvl w:ilvl="4" w:tplc="04180019" w:tentative="1">
      <w:start w:val="1"/>
      <w:numFmt w:val="lowerLetter"/>
      <w:lvlText w:val="%5."/>
      <w:lvlJc w:val="left"/>
      <w:pPr>
        <w:ind w:left="3666" w:hanging="360"/>
      </w:pPr>
    </w:lvl>
    <w:lvl w:ilvl="5" w:tplc="0418001B" w:tentative="1">
      <w:start w:val="1"/>
      <w:numFmt w:val="lowerRoman"/>
      <w:lvlText w:val="%6."/>
      <w:lvlJc w:val="right"/>
      <w:pPr>
        <w:ind w:left="4386" w:hanging="180"/>
      </w:pPr>
    </w:lvl>
    <w:lvl w:ilvl="6" w:tplc="0418000F" w:tentative="1">
      <w:start w:val="1"/>
      <w:numFmt w:val="decimal"/>
      <w:lvlText w:val="%7."/>
      <w:lvlJc w:val="left"/>
      <w:pPr>
        <w:ind w:left="5106" w:hanging="360"/>
      </w:pPr>
    </w:lvl>
    <w:lvl w:ilvl="7" w:tplc="04180019" w:tentative="1">
      <w:start w:val="1"/>
      <w:numFmt w:val="lowerLetter"/>
      <w:lvlText w:val="%8."/>
      <w:lvlJc w:val="left"/>
      <w:pPr>
        <w:ind w:left="5826" w:hanging="360"/>
      </w:pPr>
    </w:lvl>
    <w:lvl w:ilvl="8" w:tplc="0418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7" w15:restartNumberingAfterBreak="0">
    <w:nsid w:val="4E58389F"/>
    <w:multiLevelType w:val="hybridMultilevel"/>
    <w:tmpl w:val="F8C40C5A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4F681847"/>
    <w:multiLevelType w:val="hybridMultilevel"/>
    <w:tmpl w:val="687AA7B4"/>
    <w:lvl w:ilvl="0" w:tplc="4BD8F41C">
      <w:numFmt w:val="bullet"/>
      <w:lvlText w:val=""/>
      <w:lvlJc w:val="left"/>
      <w:pPr>
        <w:ind w:left="1065" w:hanging="705"/>
      </w:pPr>
      <w:rPr>
        <w:rFonts w:ascii="Symbol" w:eastAsia="Times New Roman" w:hAnsi="Symbol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521959D9"/>
    <w:multiLevelType w:val="hybridMultilevel"/>
    <w:tmpl w:val="3692E30C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54B9731C"/>
    <w:multiLevelType w:val="hybridMultilevel"/>
    <w:tmpl w:val="68588D52"/>
    <w:lvl w:ilvl="0" w:tplc="043005F8">
      <w:start w:val="1"/>
      <w:numFmt w:val="decimal"/>
      <w:lvlText w:val="%1."/>
      <w:lvlJc w:val="left"/>
      <w:pPr>
        <w:ind w:left="720" w:hanging="360"/>
      </w:pPr>
      <w:rPr>
        <w:rFonts w:ascii="Trebuchet MS" w:hAnsi="Trebuchet MS" w:hint="default"/>
        <w:sz w:val="2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56C92080"/>
    <w:multiLevelType w:val="hybridMultilevel"/>
    <w:tmpl w:val="58D43D90"/>
    <w:lvl w:ilvl="0" w:tplc="0E2E4418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5A507414"/>
    <w:multiLevelType w:val="hybridMultilevel"/>
    <w:tmpl w:val="085AE9CA"/>
    <w:lvl w:ilvl="0" w:tplc="0418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  <w:color w:val="FFC000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5AA53CC5"/>
    <w:multiLevelType w:val="hybridMultilevel"/>
    <w:tmpl w:val="B288860E"/>
    <w:lvl w:ilvl="0" w:tplc="38C2D876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5C492911"/>
    <w:multiLevelType w:val="hybridMultilevel"/>
    <w:tmpl w:val="3F004212"/>
    <w:lvl w:ilvl="0" w:tplc="146014B0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  <w:sz w:val="16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5" w15:restartNumberingAfterBreak="0">
    <w:nsid w:val="5D16672B"/>
    <w:multiLevelType w:val="hybridMultilevel"/>
    <w:tmpl w:val="66EA75E0"/>
    <w:lvl w:ilvl="0" w:tplc="0409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66" w15:restartNumberingAfterBreak="0">
    <w:nsid w:val="5D51415F"/>
    <w:multiLevelType w:val="hybridMultilevel"/>
    <w:tmpl w:val="353A48B8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5FDC4717"/>
    <w:multiLevelType w:val="hybridMultilevel"/>
    <w:tmpl w:val="1FBE2800"/>
    <w:lvl w:ilvl="0" w:tplc="C7382E7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60695B1C"/>
    <w:multiLevelType w:val="hybridMultilevel"/>
    <w:tmpl w:val="2922524A"/>
    <w:lvl w:ilvl="0" w:tplc="4BD8F41C">
      <w:numFmt w:val="bullet"/>
      <w:lvlText w:val=""/>
      <w:lvlJc w:val="left"/>
      <w:pPr>
        <w:ind w:left="1065" w:hanging="705"/>
      </w:pPr>
      <w:rPr>
        <w:rFonts w:ascii="Symbol" w:eastAsia="Times New Roman" w:hAnsi="Symbol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608348C8"/>
    <w:multiLevelType w:val="hybridMultilevel"/>
    <w:tmpl w:val="E1983ED2"/>
    <w:lvl w:ilvl="0" w:tplc="04180019">
      <w:start w:val="1"/>
      <w:numFmt w:val="lowerLetter"/>
      <w:lvlText w:val="%1."/>
      <w:lvlJc w:val="left"/>
      <w:pPr>
        <w:ind w:left="781" w:hanging="360"/>
      </w:pPr>
    </w:lvl>
    <w:lvl w:ilvl="1" w:tplc="04180019" w:tentative="1">
      <w:start w:val="1"/>
      <w:numFmt w:val="lowerLetter"/>
      <w:lvlText w:val="%2."/>
      <w:lvlJc w:val="left"/>
      <w:pPr>
        <w:ind w:left="1501" w:hanging="360"/>
      </w:pPr>
    </w:lvl>
    <w:lvl w:ilvl="2" w:tplc="0418001B" w:tentative="1">
      <w:start w:val="1"/>
      <w:numFmt w:val="lowerRoman"/>
      <w:lvlText w:val="%3."/>
      <w:lvlJc w:val="right"/>
      <w:pPr>
        <w:ind w:left="2221" w:hanging="180"/>
      </w:pPr>
    </w:lvl>
    <w:lvl w:ilvl="3" w:tplc="0418000F" w:tentative="1">
      <w:start w:val="1"/>
      <w:numFmt w:val="decimal"/>
      <w:lvlText w:val="%4."/>
      <w:lvlJc w:val="left"/>
      <w:pPr>
        <w:ind w:left="2941" w:hanging="360"/>
      </w:pPr>
    </w:lvl>
    <w:lvl w:ilvl="4" w:tplc="04180019" w:tentative="1">
      <w:start w:val="1"/>
      <w:numFmt w:val="lowerLetter"/>
      <w:lvlText w:val="%5."/>
      <w:lvlJc w:val="left"/>
      <w:pPr>
        <w:ind w:left="3661" w:hanging="360"/>
      </w:pPr>
    </w:lvl>
    <w:lvl w:ilvl="5" w:tplc="0418001B" w:tentative="1">
      <w:start w:val="1"/>
      <w:numFmt w:val="lowerRoman"/>
      <w:lvlText w:val="%6."/>
      <w:lvlJc w:val="right"/>
      <w:pPr>
        <w:ind w:left="4381" w:hanging="180"/>
      </w:pPr>
    </w:lvl>
    <w:lvl w:ilvl="6" w:tplc="0418000F" w:tentative="1">
      <w:start w:val="1"/>
      <w:numFmt w:val="decimal"/>
      <w:lvlText w:val="%7."/>
      <w:lvlJc w:val="left"/>
      <w:pPr>
        <w:ind w:left="5101" w:hanging="360"/>
      </w:pPr>
    </w:lvl>
    <w:lvl w:ilvl="7" w:tplc="04180019" w:tentative="1">
      <w:start w:val="1"/>
      <w:numFmt w:val="lowerLetter"/>
      <w:lvlText w:val="%8."/>
      <w:lvlJc w:val="left"/>
      <w:pPr>
        <w:ind w:left="5821" w:hanging="360"/>
      </w:pPr>
    </w:lvl>
    <w:lvl w:ilvl="8" w:tplc="0418001B" w:tentative="1">
      <w:start w:val="1"/>
      <w:numFmt w:val="lowerRoman"/>
      <w:lvlText w:val="%9."/>
      <w:lvlJc w:val="right"/>
      <w:pPr>
        <w:ind w:left="6541" w:hanging="180"/>
      </w:pPr>
    </w:lvl>
  </w:abstractNum>
  <w:abstractNum w:abstractNumId="70" w15:restartNumberingAfterBreak="0">
    <w:nsid w:val="60B41489"/>
    <w:multiLevelType w:val="hybridMultilevel"/>
    <w:tmpl w:val="A552EADE"/>
    <w:lvl w:ilvl="0" w:tplc="C7382E7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61A12593"/>
    <w:multiLevelType w:val="hybridMultilevel"/>
    <w:tmpl w:val="507AB61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628F5124"/>
    <w:multiLevelType w:val="hybridMultilevel"/>
    <w:tmpl w:val="678E3382"/>
    <w:lvl w:ilvl="0" w:tplc="B3066C8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6479339C"/>
    <w:multiLevelType w:val="hybridMultilevel"/>
    <w:tmpl w:val="4BA20BEC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64B715D4"/>
    <w:multiLevelType w:val="hybridMultilevel"/>
    <w:tmpl w:val="232A58CC"/>
    <w:lvl w:ilvl="0" w:tplc="84A2B8C6">
      <w:start w:val="6"/>
      <w:numFmt w:val="bullet"/>
      <w:lvlText w:val="-"/>
      <w:lvlJc w:val="left"/>
      <w:pPr>
        <w:ind w:left="36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" w15:restartNumberingAfterBreak="0">
    <w:nsid w:val="69E2585D"/>
    <w:multiLevelType w:val="hybridMultilevel"/>
    <w:tmpl w:val="A0A43676"/>
    <w:lvl w:ilvl="0" w:tplc="4BE04014">
      <w:numFmt w:val="bullet"/>
      <w:lvlText w:val="-"/>
      <w:lvlJc w:val="left"/>
      <w:pPr>
        <w:ind w:left="600" w:hanging="360"/>
      </w:pPr>
      <w:rPr>
        <w:rFonts w:ascii="Calibri" w:eastAsia="Times New Roman" w:hAnsi="Calibri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76" w15:restartNumberingAfterBreak="0">
    <w:nsid w:val="6BDE79B1"/>
    <w:multiLevelType w:val="hybridMultilevel"/>
    <w:tmpl w:val="9080F8A2"/>
    <w:lvl w:ilvl="0" w:tplc="04180019">
      <w:start w:val="1"/>
      <w:numFmt w:val="lowerLetter"/>
      <w:lvlText w:val="%1."/>
      <w:lvlJc w:val="left"/>
      <w:pPr>
        <w:ind w:left="815" w:hanging="360"/>
      </w:pPr>
    </w:lvl>
    <w:lvl w:ilvl="1" w:tplc="04180019" w:tentative="1">
      <w:start w:val="1"/>
      <w:numFmt w:val="lowerLetter"/>
      <w:lvlText w:val="%2."/>
      <w:lvlJc w:val="left"/>
      <w:pPr>
        <w:ind w:left="1535" w:hanging="360"/>
      </w:pPr>
    </w:lvl>
    <w:lvl w:ilvl="2" w:tplc="0418001B" w:tentative="1">
      <w:start w:val="1"/>
      <w:numFmt w:val="lowerRoman"/>
      <w:lvlText w:val="%3."/>
      <w:lvlJc w:val="right"/>
      <w:pPr>
        <w:ind w:left="2255" w:hanging="180"/>
      </w:pPr>
    </w:lvl>
    <w:lvl w:ilvl="3" w:tplc="0418000F" w:tentative="1">
      <w:start w:val="1"/>
      <w:numFmt w:val="decimal"/>
      <w:lvlText w:val="%4."/>
      <w:lvlJc w:val="left"/>
      <w:pPr>
        <w:ind w:left="2975" w:hanging="360"/>
      </w:pPr>
    </w:lvl>
    <w:lvl w:ilvl="4" w:tplc="04180019" w:tentative="1">
      <w:start w:val="1"/>
      <w:numFmt w:val="lowerLetter"/>
      <w:lvlText w:val="%5."/>
      <w:lvlJc w:val="left"/>
      <w:pPr>
        <w:ind w:left="3695" w:hanging="360"/>
      </w:pPr>
    </w:lvl>
    <w:lvl w:ilvl="5" w:tplc="0418001B" w:tentative="1">
      <w:start w:val="1"/>
      <w:numFmt w:val="lowerRoman"/>
      <w:lvlText w:val="%6."/>
      <w:lvlJc w:val="right"/>
      <w:pPr>
        <w:ind w:left="4415" w:hanging="180"/>
      </w:pPr>
    </w:lvl>
    <w:lvl w:ilvl="6" w:tplc="0418000F" w:tentative="1">
      <w:start w:val="1"/>
      <w:numFmt w:val="decimal"/>
      <w:lvlText w:val="%7."/>
      <w:lvlJc w:val="left"/>
      <w:pPr>
        <w:ind w:left="5135" w:hanging="360"/>
      </w:pPr>
    </w:lvl>
    <w:lvl w:ilvl="7" w:tplc="04180019" w:tentative="1">
      <w:start w:val="1"/>
      <w:numFmt w:val="lowerLetter"/>
      <w:lvlText w:val="%8."/>
      <w:lvlJc w:val="left"/>
      <w:pPr>
        <w:ind w:left="5855" w:hanging="360"/>
      </w:pPr>
    </w:lvl>
    <w:lvl w:ilvl="8" w:tplc="0418001B" w:tentative="1">
      <w:start w:val="1"/>
      <w:numFmt w:val="lowerRoman"/>
      <w:lvlText w:val="%9."/>
      <w:lvlJc w:val="right"/>
      <w:pPr>
        <w:ind w:left="6575" w:hanging="180"/>
      </w:pPr>
    </w:lvl>
  </w:abstractNum>
  <w:abstractNum w:abstractNumId="77" w15:restartNumberingAfterBreak="0">
    <w:nsid w:val="6BF30521"/>
    <w:multiLevelType w:val="hybridMultilevel"/>
    <w:tmpl w:val="25E2D7B4"/>
    <w:lvl w:ilvl="0" w:tplc="04180001">
      <w:start w:val="1"/>
      <w:numFmt w:val="bullet"/>
      <w:lvlText w:val=""/>
      <w:lvlJc w:val="left"/>
      <w:pPr>
        <w:ind w:left="835" w:hanging="360"/>
      </w:pPr>
      <w:rPr>
        <w:rFonts w:ascii="Symbol" w:hAnsi="Symbol" w:hint="default"/>
      </w:rPr>
    </w:lvl>
    <w:lvl w:ilvl="1" w:tplc="1850111E">
      <w:start w:val="1"/>
      <w:numFmt w:val="bullet"/>
      <w:lvlText w:val="o"/>
      <w:lvlJc w:val="left"/>
      <w:pPr>
        <w:ind w:left="1555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2275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95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15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435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55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75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95" w:hanging="360"/>
      </w:pPr>
      <w:rPr>
        <w:rFonts w:ascii="Wingdings" w:hAnsi="Wingdings" w:hint="default"/>
      </w:rPr>
    </w:lvl>
  </w:abstractNum>
  <w:abstractNum w:abstractNumId="78" w15:restartNumberingAfterBreak="0">
    <w:nsid w:val="6EB8692C"/>
    <w:multiLevelType w:val="multilevel"/>
    <w:tmpl w:val="F84038C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9" w15:restartNumberingAfterBreak="0">
    <w:nsid w:val="6FCF2C35"/>
    <w:multiLevelType w:val="hybridMultilevel"/>
    <w:tmpl w:val="3546452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6FEB5BEB"/>
    <w:multiLevelType w:val="hybridMultilevel"/>
    <w:tmpl w:val="FBCA11C0"/>
    <w:lvl w:ilvl="0" w:tplc="1A50CE16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71371DD0"/>
    <w:multiLevelType w:val="hybridMultilevel"/>
    <w:tmpl w:val="B468B044"/>
    <w:lvl w:ilvl="0" w:tplc="38C2D876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730B4D2B"/>
    <w:multiLevelType w:val="hybridMultilevel"/>
    <w:tmpl w:val="612E96BE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73DB6801"/>
    <w:multiLevelType w:val="hybridMultilevel"/>
    <w:tmpl w:val="3E92EC7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 w15:restartNumberingAfterBreak="0">
    <w:nsid w:val="74844594"/>
    <w:multiLevelType w:val="hybridMultilevel"/>
    <w:tmpl w:val="E73A6250"/>
    <w:lvl w:ilvl="0" w:tplc="C7382E7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500" w:hanging="360"/>
      </w:pPr>
    </w:lvl>
    <w:lvl w:ilvl="2" w:tplc="0418001B" w:tentative="1">
      <w:start w:val="1"/>
      <w:numFmt w:val="lowerRoman"/>
      <w:lvlText w:val="%3."/>
      <w:lvlJc w:val="right"/>
      <w:pPr>
        <w:ind w:left="2220" w:hanging="180"/>
      </w:pPr>
    </w:lvl>
    <w:lvl w:ilvl="3" w:tplc="0418000F" w:tentative="1">
      <w:start w:val="1"/>
      <w:numFmt w:val="decimal"/>
      <w:lvlText w:val="%4."/>
      <w:lvlJc w:val="left"/>
      <w:pPr>
        <w:ind w:left="2940" w:hanging="360"/>
      </w:pPr>
    </w:lvl>
    <w:lvl w:ilvl="4" w:tplc="04180019" w:tentative="1">
      <w:start w:val="1"/>
      <w:numFmt w:val="lowerLetter"/>
      <w:lvlText w:val="%5."/>
      <w:lvlJc w:val="left"/>
      <w:pPr>
        <w:ind w:left="3660" w:hanging="360"/>
      </w:pPr>
    </w:lvl>
    <w:lvl w:ilvl="5" w:tplc="0418001B" w:tentative="1">
      <w:start w:val="1"/>
      <w:numFmt w:val="lowerRoman"/>
      <w:lvlText w:val="%6."/>
      <w:lvlJc w:val="right"/>
      <w:pPr>
        <w:ind w:left="4380" w:hanging="180"/>
      </w:pPr>
    </w:lvl>
    <w:lvl w:ilvl="6" w:tplc="0418000F" w:tentative="1">
      <w:start w:val="1"/>
      <w:numFmt w:val="decimal"/>
      <w:lvlText w:val="%7."/>
      <w:lvlJc w:val="left"/>
      <w:pPr>
        <w:ind w:left="5100" w:hanging="360"/>
      </w:pPr>
    </w:lvl>
    <w:lvl w:ilvl="7" w:tplc="04180019" w:tentative="1">
      <w:start w:val="1"/>
      <w:numFmt w:val="lowerLetter"/>
      <w:lvlText w:val="%8."/>
      <w:lvlJc w:val="left"/>
      <w:pPr>
        <w:ind w:left="5820" w:hanging="360"/>
      </w:pPr>
    </w:lvl>
    <w:lvl w:ilvl="8" w:tplc="0418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85" w15:restartNumberingAfterBreak="0">
    <w:nsid w:val="748D2839"/>
    <w:multiLevelType w:val="hybridMultilevel"/>
    <w:tmpl w:val="AD5C31D6"/>
    <w:lvl w:ilvl="0" w:tplc="0418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6" w15:restartNumberingAfterBreak="0">
    <w:nsid w:val="75B20EBD"/>
    <w:multiLevelType w:val="hybridMultilevel"/>
    <w:tmpl w:val="38E2BD66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77164BAC"/>
    <w:multiLevelType w:val="hybridMultilevel"/>
    <w:tmpl w:val="C81EB9A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7C4778D5"/>
    <w:multiLevelType w:val="hybridMultilevel"/>
    <w:tmpl w:val="DF78A0DA"/>
    <w:lvl w:ilvl="0" w:tplc="04180019">
      <w:start w:val="1"/>
      <w:numFmt w:val="lowerLetter"/>
      <w:lvlText w:val="%1."/>
      <w:lvlJc w:val="left"/>
      <w:pPr>
        <w:ind w:left="720" w:hanging="360"/>
      </w:pPr>
    </w:lvl>
    <w:lvl w:ilvl="1" w:tplc="04180017">
      <w:start w:val="1"/>
      <w:numFmt w:val="lowerLetter"/>
      <w:lvlText w:val="%2)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7CBE48D2"/>
    <w:multiLevelType w:val="hybridMultilevel"/>
    <w:tmpl w:val="7CBE48D2"/>
    <w:lvl w:ilvl="0" w:tplc="EDB2560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742669B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12CC70C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57CC993A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C65656F6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8708CD5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5FE4370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4E7EAB4E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6212B4B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90" w15:restartNumberingAfterBreak="0">
    <w:nsid w:val="7CCC6FCE"/>
    <w:multiLevelType w:val="hybridMultilevel"/>
    <w:tmpl w:val="FF4CC362"/>
    <w:lvl w:ilvl="0" w:tplc="B3066C8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9" w:hanging="360"/>
      </w:pPr>
    </w:lvl>
    <w:lvl w:ilvl="2" w:tplc="0418001B" w:tentative="1">
      <w:start w:val="1"/>
      <w:numFmt w:val="lowerRoman"/>
      <w:lvlText w:val="%3."/>
      <w:lvlJc w:val="right"/>
      <w:pPr>
        <w:ind w:left="2869" w:hanging="180"/>
      </w:pPr>
    </w:lvl>
    <w:lvl w:ilvl="3" w:tplc="0418000F" w:tentative="1">
      <w:start w:val="1"/>
      <w:numFmt w:val="decimal"/>
      <w:lvlText w:val="%4."/>
      <w:lvlJc w:val="left"/>
      <w:pPr>
        <w:ind w:left="3589" w:hanging="360"/>
      </w:pPr>
    </w:lvl>
    <w:lvl w:ilvl="4" w:tplc="04180019" w:tentative="1">
      <w:start w:val="1"/>
      <w:numFmt w:val="lowerLetter"/>
      <w:lvlText w:val="%5."/>
      <w:lvlJc w:val="left"/>
      <w:pPr>
        <w:ind w:left="4309" w:hanging="360"/>
      </w:pPr>
    </w:lvl>
    <w:lvl w:ilvl="5" w:tplc="0418001B" w:tentative="1">
      <w:start w:val="1"/>
      <w:numFmt w:val="lowerRoman"/>
      <w:lvlText w:val="%6."/>
      <w:lvlJc w:val="right"/>
      <w:pPr>
        <w:ind w:left="5029" w:hanging="180"/>
      </w:pPr>
    </w:lvl>
    <w:lvl w:ilvl="6" w:tplc="0418000F" w:tentative="1">
      <w:start w:val="1"/>
      <w:numFmt w:val="decimal"/>
      <w:lvlText w:val="%7."/>
      <w:lvlJc w:val="left"/>
      <w:pPr>
        <w:ind w:left="5749" w:hanging="360"/>
      </w:pPr>
    </w:lvl>
    <w:lvl w:ilvl="7" w:tplc="04180019" w:tentative="1">
      <w:start w:val="1"/>
      <w:numFmt w:val="lowerLetter"/>
      <w:lvlText w:val="%8."/>
      <w:lvlJc w:val="left"/>
      <w:pPr>
        <w:ind w:left="6469" w:hanging="360"/>
      </w:pPr>
    </w:lvl>
    <w:lvl w:ilvl="8" w:tplc="0418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1" w15:restartNumberingAfterBreak="0">
    <w:nsid w:val="7D130AD5"/>
    <w:multiLevelType w:val="hybridMultilevel"/>
    <w:tmpl w:val="6CAA4F6E"/>
    <w:lvl w:ilvl="0" w:tplc="78D29C2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7D701134"/>
    <w:multiLevelType w:val="hybridMultilevel"/>
    <w:tmpl w:val="49CC6CAA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 w15:restartNumberingAfterBreak="0">
    <w:nsid w:val="7D7E2BAF"/>
    <w:multiLevelType w:val="multilevel"/>
    <w:tmpl w:val="7A2A1C9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ind w:left="716" w:hanging="432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4" w15:restartNumberingAfterBreak="0">
    <w:nsid w:val="7E2935A8"/>
    <w:multiLevelType w:val="hybridMultilevel"/>
    <w:tmpl w:val="7D7A489E"/>
    <w:lvl w:ilvl="0" w:tplc="04180019">
      <w:start w:val="1"/>
      <w:numFmt w:val="lowerLetter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85"/>
  </w:num>
  <w:num w:numId="3">
    <w:abstractNumId w:val="63"/>
  </w:num>
  <w:num w:numId="4">
    <w:abstractNumId w:val="19"/>
  </w:num>
  <w:num w:numId="5">
    <w:abstractNumId w:val="16"/>
  </w:num>
  <w:num w:numId="6">
    <w:abstractNumId w:val="15"/>
  </w:num>
  <w:num w:numId="7">
    <w:abstractNumId w:val="39"/>
  </w:num>
  <w:num w:numId="8">
    <w:abstractNumId w:val="20"/>
  </w:num>
  <w:num w:numId="9">
    <w:abstractNumId w:val="14"/>
  </w:num>
  <w:num w:numId="10">
    <w:abstractNumId w:val="6"/>
  </w:num>
  <w:num w:numId="11">
    <w:abstractNumId w:val="93"/>
  </w:num>
  <w:num w:numId="12">
    <w:abstractNumId w:val="81"/>
  </w:num>
  <w:num w:numId="13">
    <w:abstractNumId w:val="55"/>
  </w:num>
  <w:num w:numId="14">
    <w:abstractNumId w:val="84"/>
  </w:num>
  <w:num w:numId="15">
    <w:abstractNumId w:val="5"/>
  </w:num>
  <w:num w:numId="16">
    <w:abstractNumId w:val="70"/>
  </w:num>
  <w:num w:numId="17">
    <w:abstractNumId w:val="53"/>
  </w:num>
  <w:num w:numId="18">
    <w:abstractNumId w:val="27"/>
  </w:num>
  <w:num w:numId="19">
    <w:abstractNumId w:val="75"/>
  </w:num>
  <w:num w:numId="20">
    <w:abstractNumId w:val="33"/>
  </w:num>
  <w:num w:numId="21">
    <w:abstractNumId w:val="36"/>
  </w:num>
  <w:num w:numId="22">
    <w:abstractNumId w:val="57"/>
  </w:num>
  <w:num w:numId="23">
    <w:abstractNumId w:val="13"/>
  </w:num>
  <w:num w:numId="24">
    <w:abstractNumId w:val="69"/>
  </w:num>
  <w:num w:numId="25">
    <w:abstractNumId w:val="7"/>
  </w:num>
  <w:num w:numId="26">
    <w:abstractNumId w:val="3"/>
  </w:num>
  <w:num w:numId="27">
    <w:abstractNumId w:val="25"/>
  </w:num>
  <w:num w:numId="28">
    <w:abstractNumId w:val="11"/>
  </w:num>
  <w:num w:numId="29">
    <w:abstractNumId w:val="24"/>
  </w:num>
  <w:num w:numId="30">
    <w:abstractNumId w:val="28"/>
  </w:num>
  <w:num w:numId="31">
    <w:abstractNumId w:val="22"/>
  </w:num>
  <w:num w:numId="32">
    <w:abstractNumId w:val="60"/>
  </w:num>
  <w:num w:numId="33">
    <w:abstractNumId w:val="10"/>
  </w:num>
  <w:num w:numId="34">
    <w:abstractNumId w:val="32"/>
  </w:num>
  <w:num w:numId="35">
    <w:abstractNumId w:val="51"/>
  </w:num>
  <w:num w:numId="36">
    <w:abstractNumId w:val="88"/>
  </w:num>
  <w:num w:numId="37">
    <w:abstractNumId w:val="94"/>
  </w:num>
  <w:num w:numId="38">
    <w:abstractNumId w:val="76"/>
  </w:num>
  <w:num w:numId="39">
    <w:abstractNumId w:val="92"/>
  </w:num>
  <w:num w:numId="40">
    <w:abstractNumId w:val="17"/>
  </w:num>
  <w:num w:numId="41">
    <w:abstractNumId w:val="77"/>
  </w:num>
  <w:num w:numId="42">
    <w:abstractNumId w:val="56"/>
  </w:num>
  <w:num w:numId="43">
    <w:abstractNumId w:val="59"/>
  </w:num>
  <w:num w:numId="44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  <w:color w:val="auto"/>
        </w:rPr>
      </w:lvl>
    </w:lvlOverride>
  </w:num>
  <w:num w:numId="45">
    <w:abstractNumId w:val="31"/>
  </w:num>
  <w:num w:numId="46">
    <w:abstractNumId w:val="8"/>
  </w:num>
  <w:num w:numId="47">
    <w:abstractNumId w:val="49"/>
  </w:num>
  <w:num w:numId="48">
    <w:abstractNumId w:val="18"/>
  </w:num>
  <w:num w:numId="49">
    <w:abstractNumId w:val="86"/>
  </w:num>
  <w:num w:numId="50">
    <w:abstractNumId w:val="21"/>
  </w:num>
  <w:num w:numId="51">
    <w:abstractNumId w:val="66"/>
  </w:num>
  <w:num w:numId="52">
    <w:abstractNumId w:val="62"/>
  </w:num>
  <w:num w:numId="53">
    <w:abstractNumId w:val="34"/>
  </w:num>
  <w:num w:numId="54">
    <w:abstractNumId w:val="26"/>
  </w:num>
  <w:num w:numId="55">
    <w:abstractNumId w:val="44"/>
  </w:num>
  <w:num w:numId="56">
    <w:abstractNumId w:val="48"/>
  </w:num>
  <w:num w:numId="57">
    <w:abstractNumId w:val="83"/>
  </w:num>
  <w:num w:numId="58">
    <w:abstractNumId w:val="50"/>
  </w:num>
  <w:num w:numId="59">
    <w:abstractNumId w:val="35"/>
  </w:num>
  <w:num w:numId="60">
    <w:abstractNumId w:val="78"/>
  </w:num>
  <w:num w:numId="61">
    <w:abstractNumId w:val="9"/>
  </w:num>
  <w:num w:numId="62">
    <w:abstractNumId w:val="45"/>
  </w:num>
  <w:num w:numId="63">
    <w:abstractNumId w:val="41"/>
  </w:num>
  <w:num w:numId="64">
    <w:abstractNumId w:val="37"/>
  </w:num>
  <w:num w:numId="65">
    <w:abstractNumId w:val="40"/>
  </w:num>
  <w:num w:numId="66">
    <w:abstractNumId w:val="72"/>
  </w:num>
  <w:num w:numId="67">
    <w:abstractNumId w:val="90"/>
  </w:num>
  <w:num w:numId="68">
    <w:abstractNumId w:val="54"/>
  </w:num>
  <w:num w:numId="69">
    <w:abstractNumId w:val="43"/>
  </w:num>
  <w:num w:numId="70">
    <w:abstractNumId w:val="12"/>
  </w:num>
  <w:num w:numId="71">
    <w:abstractNumId w:val="67"/>
  </w:num>
  <w:num w:numId="72">
    <w:abstractNumId w:val="2"/>
  </w:num>
  <w:num w:numId="73">
    <w:abstractNumId w:val="80"/>
  </w:num>
  <w:num w:numId="74">
    <w:abstractNumId w:val="52"/>
  </w:num>
  <w:num w:numId="75">
    <w:abstractNumId w:val="79"/>
  </w:num>
  <w:num w:numId="76">
    <w:abstractNumId w:val="58"/>
  </w:num>
  <w:num w:numId="77">
    <w:abstractNumId w:val="46"/>
  </w:num>
  <w:num w:numId="78">
    <w:abstractNumId w:val="68"/>
  </w:num>
  <w:num w:numId="79">
    <w:abstractNumId w:val="91"/>
  </w:num>
  <w:num w:numId="80">
    <w:abstractNumId w:val="38"/>
  </w:num>
  <w:num w:numId="81">
    <w:abstractNumId w:val="89"/>
  </w:num>
  <w:num w:numId="82">
    <w:abstractNumId w:val="47"/>
  </w:num>
  <w:num w:numId="83">
    <w:abstractNumId w:val="65"/>
  </w:num>
  <w:num w:numId="84">
    <w:abstractNumId w:val="30"/>
  </w:num>
  <w:num w:numId="85">
    <w:abstractNumId w:val="42"/>
  </w:num>
  <w:num w:numId="86">
    <w:abstractNumId w:val="64"/>
  </w:num>
  <w:num w:numId="87">
    <w:abstractNumId w:val="29"/>
  </w:num>
  <w:num w:numId="88">
    <w:abstractNumId w:val="4"/>
  </w:num>
  <w:num w:numId="89">
    <w:abstractNumId w:val="61"/>
  </w:num>
  <w:num w:numId="90">
    <w:abstractNumId w:val="73"/>
  </w:num>
  <w:num w:numId="91">
    <w:abstractNumId w:val="82"/>
  </w:num>
  <w:num w:numId="92">
    <w:abstractNumId w:val="87"/>
  </w:num>
  <w:num w:numId="93">
    <w:abstractNumId w:val="71"/>
  </w:num>
  <w:num w:numId="94">
    <w:abstractNumId w:val="23"/>
  </w:num>
  <w:num w:numId="95">
    <w:abstractNumId w:val="74"/>
  </w:num>
  <w:numIdMacAtCleanup w:val="9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4649"/>
    <w:rsid w:val="000001A8"/>
    <w:rsid w:val="0000027F"/>
    <w:rsid w:val="000055CA"/>
    <w:rsid w:val="00005ECE"/>
    <w:rsid w:val="000062B6"/>
    <w:rsid w:val="000108F4"/>
    <w:rsid w:val="000120A2"/>
    <w:rsid w:val="00012FAB"/>
    <w:rsid w:val="0001398D"/>
    <w:rsid w:val="00013C2A"/>
    <w:rsid w:val="0001472E"/>
    <w:rsid w:val="00017A9F"/>
    <w:rsid w:val="00020836"/>
    <w:rsid w:val="0002359D"/>
    <w:rsid w:val="00024B64"/>
    <w:rsid w:val="0002568E"/>
    <w:rsid w:val="000270EA"/>
    <w:rsid w:val="0003031E"/>
    <w:rsid w:val="00031C63"/>
    <w:rsid w:val="00032A70"/>
    <w:rsid w:val="00033E10"/>
    <w:rsid w:val="00037F07"/>
    <w:rsid w:val="000408B6"/>
    <w:rsid w:val="000417E2"/>
    <w:rsid w:val="00042345"/>
    <w:rsid w:val="0004267B"/>
    <w:rsid w:val="0004468F"/>
    <w:rsid w:val="00044786"/>
    <w:rsid w:val="00044C89"/>
    <w:rsid w:val="0004571C"/>
    <w:rsid w:val="00045F52"/>
    <w:rsid w:val="000474F3"/>
    <w:rsid w:val="000506DA"/>
    <w:rsid w:val="00051B87"/>
    <w:rsid w:val="00052236"/>
    <w:rsid w:val="000553C3"/>
    <w:rsid w:val="000608D4"/>
    <w:rsid w:val="000626D4"/>
    <w:rsid w:val="00062F96"/>
    <w:rsid w:val="000666D4"/>
    <w:rsid w:val="000678B2"/>
    <w:rsid w:val="00067B30"/>
    <w:rsid w:val="00072E29"/>
    <w:rsid w:val="000758D5"/>
    <w:rsid w:val="000805D0"/>
    <w:rsid w:val="00081CE9"/>
    <w:rsid w:val="000835AE"/>
    <w:rsid w:val="00085CC5"/>
    <w:rsid w:val="00086491"/>
    <w:rsid w:val="00086E8E"/>
    <w:rsid w:val="000873C2"/>
    <w:rsid w:val="000877E2"/>
    <w:rsid w:val="0009183E"/>
    <w:rsid w:val="0009287A"/>
    <w:rsid w:val="00092B57"/>
    <w:rsid w:val="00093D5F"/>
    <w:rsid w:val="000955D7"/>
    <w:rsid w:val="000966BB"/>
    <w:rsid w:val="00096C89"/>
    <w:rsid w:val="0009757F"/>
    <w:rsid w:val="000A0F6C"/>
    <w:rsid w:val="000A1023"/>
    <w:rsid w:val="000A28A2"/>
    <w:rsid w:val="000A4F76"/>
    <w:rsid w:val="000A7F6F"/>
    <w:rsid w:val="000B1AFD"/>
    <w:rsid w:val="000B462A"/>
    <w:rsid w:val="000C055E"/>
    <w:rsid w:val="000C09DA"/>
    <w:rsid w:val="000C11EE"/>
    <w:rsid w:val="000C3633"/>
    <w:rsid w:val="000C5822"/>
    <w:rsid w:val="000C6427"/>
    <w:rsid w:val="000C7878"/>
    <w:rsid w:val="000D28ED"/>
    <w:rsid w:val="000D3F56"/>
    <w:rsid w:val="000D617F"/>
    <w:rsid w:val="000E2624"/>
    <w:rsid w:val="000E2C29"/>
    <w:rsid w:val="000E568D"/>
    <w:rsid w:val="000E5BEB"/>
    <w:rsid w:val="000E6439"/>
    <w:rsid w:val="000E67CC"/>
    <w:rsid w:val="000E7139"/>
    <w:rsid w:val="000E77A1"/>
    <w:rsid w:val="000E7960"/>
    <w:rsid w:val="000F080F"/>
    <w:rsid w:val="000F2426"/>
    <w:rsid w:val="000F24C8"/>
    <w:rsid w:val="000F2E94"/>
    <w:rsid w:val="000F364F"/>
    <w:rsid w:val="000F3946"/>
    <w:rsid w:val="000F5612"/>
    <w:rsid w:val="000F6023"/>
    <w:rsid w:val="000F7FE8"/>
    <w:rsid w:val="00102D3B"/>
    <w:rsid w:val="00103AA7"/>
    <w:rsid w:val="001056A2"/>
    <w:rsid w:val="00106368"/>
    <w:rsid w:val="0010677A"/>
    <w:rsid w:val="00107F55"/>
    <w:rsid w:val="00110EB9"/>
    <w:rsid w:val="00113C00"/>
    <w:rsid w:val="001143CF"/>
    <w:rsid w:val="00114E8E"/>
    <w:rsid w:val="00114ECD"/>
    <w:rsid w:val="001172F5"/>
    <w:rsid w:val="001215C7"/>
    <w:rsid w:val="001251D5"/>
    <w:rsid w:val="00127163"/>
    <w:rsid w:val="00130417"/>
    <w:rsid w:val="00131179"/>
    <w:rsid w:val="00132DB8"/>
    <w:rsid w:val="00133785"/>
    <w:rsid w:val="00133C6D"/>
    <w:rsid w:val="00133FD8"/>
    <w:rsid w:val="0013614F"/>
    <w:rsid w:val="00137373"/>
    <w:rsid w:val="00140D8A"/>
    <w:rsid w:val="00142E37"/>
    <w:rsid w:val="00143E1D"/>
    <w:rsid w:val="0014448D"/>
    <w:rsid w:val="00145A10"/>
    <w:rsid w:val="001462E7"/>
    <w:rsid w:val="00146543"/>
    <w:rsid w:val="00147E9F"/>
    <w:rsid w:val="00151412"/>
    <w:rsid w:val="00151588"/>
    <w:rsid w:val="001516C1"/>
    <w:rsid w:val="00151B41"/>
    <w:rsid w:val="001538B6"/>
    <w:rsid w:val="00153D28"/>
    <w:rsid w:val="00153DBE"/>
    <w:rsid w:val="001541A3"/>
    <w:rsid w:val="00157266"/>
    <w:rsid w:val="001577DC"/>
    <w:rsid w:val="0016020B"/>
    <w:rsid w:val="00161CF0"/>
    <w:rsid w:val="00164124"/>
    <w:rsid w:val="0016705B"/>
    <w:rsid w:val="00167DA0"/>
    <w:rsid w:val="00171A32"/>
    <w:rsid w:val="00172C44"/>
    <w:rsid w:val="0017527B"/>
    <w:rsid w:val="00176CC5"/>
    <w:rsid w:val="00176E48"/>
    <w:rsid w:val="00177F33"/>
    <w:rsid w:val="00180003"/>
    <w:rsid w:val="001809E5"/>
    <w:rsid w:val="00180EC1"/>
    <w:rsid w:val="00183F8B"/>
    <w:rsid w:val="00186B4A"/>
    <w:rsid w:val="0019012C"/>
    <w:rsid w:val="00190DEC"/>
    <w:rsid w:val="00191606"/>
    <w:rsid w:val="00191A88"/>
    <w:rsid w:val="00191BDF"/>
    <w:rsid w:val="0019280C"/>
    <w:rsid w:val="00193770"/>
    <w:rsid w:val="00195400"/>
    <w:rsid w:val="00195E57"/>
    <w:rsid w:val="0019782E"/>
    <w:rsid w:val="001A09B4"/>
    <w:rsid w:val="001A0FD4"/>
    <w:rsid w:val="001A30A7"/>
    <w:rsid w:val="001A3DB8"/>
    <w:rsid w:val="001A622F"/>
    <w:rsid w:val="001A6FD1"/>
    <w:rsid w:val="001A70EA"/>
    <w:rsid w:val="001B00B1"/>
    <w:rsid w:val="001B1ACE"/>
    <w:rsid w:val="001B21FB"/>
    <w:rsid w:val="001B3791"/>
    <w:rsid w:val="001C0AED"/>
    <w:rsid w:val="001C0DB7"/>
    <w:rsid w:val="001C42F3"/>
    <w:rsid w:val="001C52BF"/>
    <w:rsid w:val="001C67EA"/>
    <w:rsid w:val="001C71D0"/>
    <w:rsid w:val="001C74B6"/>
    <w:rsid w:val="001D3A3C"/>
    <w:rsid w:val="001D4117"/>
    <w:rsid w:val="001D510B"/>
    <w:rsid w:val="001D53E7"/>
    <w:rsid w:val="001D7F85"/>
    <w:rsid w:val="001E3607"/>
    <w:rsid w:val="001E3AC6"/>
    <w:rsid w:val="001E4356"/>
    <w:rsid w:val="001E714D"/>
    <w:rsid w:val="001E78EB"/>
    <w:rsid w:val="001F0BB7"/>
    <w:rsid w:val="001F1528"/>
    <w:rsid w:val="001F1DAA"/>
    <w:rsid w:val="001F1ED3"/>
    <w:rsid w:val="001F590C"/>
    <w:rsid w:val="001F652D"/>
    <w:rsid w:val="001F6F62"/>
    <w:rsid w:val="001F7210"/>
    <w:rsid w:val="002026E0"/>
    <w:rsid w:val="00202E51"/>
    <w:rsid w:val="00203F35"/>
    <w:rsid w:val="0020442D"/>
    <w:rsid w:val="002045AE"/>
    <w:rsid w:val="00204B8C"/>
    <w:rsid w:val="00204DF5"/>
    <w:rsid w:val="00204E5F"/>
    <w:rsid w:val="00206E7B"/>
    <w:rsid w:val="00210C32"/>
    <w:rsid w:val="00211C2C"/>
    <w:rsid w:val="0021225C"/>
    <w:rsid w:val="00213F80"/>
    <w:rsid w:val="00215319"/>
    <w:rsid w:val="002179B8"/>
    <w:rsid w:val="00223360"/>
    <w:rsid w:val="002233A2"/>
    <w:rsid w:val="00226E26"/>
    <w:rsid w:val="0022728B"/>
    <w:rsid w:val="00230628"/>
    <w:rsid w:val="00232E40"/>
    <w:rsid w:val="00232F6B"/>
    <w:rsid w:val="002337F4"/>
    <w:rsid w:val="00233FE5"/>
    <w:rsid w:val="00234768"/>
    <w:rsid w:val="002364E5"/>
    <w:rsid w:val="00236D9F"/>
    <w:rsid w:val="00240923"/>
    <w:rsid w:val="00241546"/>
    <w:rsid w:val="002418D0"/>
    <w:rsid w:val="00242D5B"/>
    <w:rsid w:val="00244F22"/>
    <w:rsid w:val="00245342"/>
    <w:rsid w:val="00245708"/>
    <w:rsid w:val="00246764"/>
    <w:rsid w:val="00246DAC"/>
    <w:rsid w:val="00247AC9"/>
    <w:rsid w:val="0025061F"/>
    <w:rsid w:val="00251332"/>
    <w:rsid w:val="00252D40"/>
    <w:rsid w:val="002619C9"/>
    <w:rsid w:val="00261A37"/>
    <w:rsid w:val="00262CB4"/>
    <w:rsid w:val="00262EB9"/>
    <w:rsid w:val="00264C31"/>
    <w:rsid w:val="00265B69"/>
    <w:rsid w:val="00272DAB"/>
    <w:rsid w:val="00275438"/>
    <w:rsid w:val="00275A05"/>
    <w:rsid w:val="00276430"/>
    <w:rsid w:val="00280144"/>
    <w:rsid w:val="00280401"/>
    <w:rsid w:val="00281C31"/>
    <w:rsid w:val="00282099"/>
    <w:rsid w:val="002827E7"/>
    <w:rsid w:val="0028498D"/>
    <w:rsid w:val="00285BF2"/>
    <w:rsid w:val="00287592"/>
    <w:rsid w:val="002877B5"/>
    <w:rsid w:val="00290646"/>
    <w:rsid w:val="0029095E"/>
    <w:rsid w:val="002951ED"/>
    <w:rsid w:val="002A054D"/>
    <w:rsid w:val="002A0E23"/>
    <w:rsid w:val="002A309E"/>
    <w:rsid w:val="002A4B9E"/>
    <w:rsid w:val="002A5611"/>
    <w:rsid w:val="002A63AA"/>
    <w:rsid w:val="002A6F31"/>
    <w:rsid w:val="002A71BA"/>
    <w:rsid w:val="002B09D9"/>
    <w:rsid w:val="002B0A87"/>
    <w:rsid w:val="002B1520"/>
    <w:rsid w:val="002B2146"/>
    <w:rsid w:val="002B4D84"/>
    <w:rsid w:val="002B5828"/>
    <w:rsid w:val="002B689B"/>
    <w:rsid w:val="002C02EE"/>
    <w:rsid w:val="002C17FB"/>
    <w:rsid w:val="002C23B3"/>
    <w:rsid w:val="002C2EE4"/>
    <w:rsid w:val="002C34A8"/>
    <w:rsid w:val="002C5335"/>
    <w:rsid w:val="002C5D9A"/>
    <w:rsid w:val="002C7968"/>
    <w:rsid w:val="002D0D83"/>
    <w:rsid w:val="002D380E"/>
    <w:rsid w:val="002D45E3"/>
    <w:rsid w:val="002D5E85"/>
    <w:rsid w:val="002D6980"/>
    <w:rsid w:val="002D6B5F"/>
    <w:rsid w:val="002D7242"/>
    <w:rsid w:val="002E0E65"/>
    <w:rsid w:val="002E2B0F"/>
    <w:rsid w:val="002E3AB4"/>
    <w:rsid w:val="002E4C6F"/>
    <w:rsid w:val="002E58E0"/>
    <w:rsid w:val="002E5D0D"/>
    <w:rsid w:val="002E7243"/>
    <w:rsid w:val="002F1482"/>
    <w:rsid w:val="002F5678"/>
    <w:rsid w:val="002F6272"/>
    <w:rsid w:val="002F6BC3"/>
    <w:rsid w:val="002F78BA"/>
    <w:rsid w:val="00300717"/>
    <w:rsid w:val="00301933"/>
    <w:rsid w:val="003022FD"/>
    <w:rsid w:val="00302AFF"/>
    <w:rsid w:val="00302F67"/>
    <w:rsid w:val="003037E7"/>
    <w:rsid w:val="00304078"/>
    <w:rsid w:val="0030732B"/>
    <w:rsid w:val="003104AF"/>
    <w:rsid w:val="00311655"/>
    <w:rsid w:val="00315B9C"/>
    <w:rsid w:val="00316DAE"/>
    <w:rsid w:val="0032095A"/>
    <w:rsid w:val="00321F5B"/>
    <w:rsid w:val="0032338D"/>
    <w:rsid w:val="00323EF2"/>
    <w:rsid w:val="00324139"/>
    <w:rsid w:val="003253ED"/>
    <w:rsid w:val="0032584F"/>
    <w:rsid w:val="003271B0"/>
    <w:rsid w:val="00330140"/>
    <w:rsid w:val="00330A66"/>
    <w:rsid w:val="0033185A"/>
    <w:rsid w:val="0033218B"/>
    <w:rsid w:val="00332845"/>
    <w:rsid w:val="00332FF3"/>
    <w:rsid w:val="0033384B"/>
    <w:rsid w:val="00335D91"/>
    <w:rsid w:val="00340212"/>
    <w:rsid w:val="00340D4A"/>
    <w:rsid w:val="00341589"/>
    <w:rsid w:val="00342F36"/>
    <w:rsid w:val="00343212"/>
    <w:rsid w:val="00344417"/>
    <w:rsid w:val="00345712"/>
    <w:rsid w:val="0035198F"/>
    <w:rsid w:val="003542C2"/>
    <w:rsid w:val="003543AB"/>
    <w:rsid w:val="003546AB"/>
    <w:rsid w:val="00355A7E"/>
    <w:rsid w:val="003570A6"/>
    <w:rsid w:val="00360D9C"/>
    <w:rsid w:val="0036107B"/>
    <w:rsid w:val="003631A9"/>
    <w:rsid w:val="003645A1"/>
    <w:rsid w:val="003647BD"/>
    <w:rsid w:val="00365582"/>
    <w:rsid w:val="003706F7"/>
    <w:rsid w:val="00370874"/>
    <w:rsid w:val="00373496"/>
    <w:rsid w:val="00373E97"/>
    <w:rsid w:val="003759B8"/>
    <w:rsid w:val="003762FC"/>
    <w:rsid w:val="00376989"/>
    <w:rsid w:val="00376A18"/>
    <w:rsid w:val="003773C7"/>
    <w:rsid w:val="00382A69"/>
    <w:rsid w:val="0038307D"/>
    <w:rsid w:val="0038559E"/>
    <w:rsid w:val="00385F51"/>
    <w:rsid w:val="00387593"/>
    <w:rsid w:val="00387DA2"/>
    <w:rsid w:val="003923EF"/>
    <w:rsid w:val="00392C15"/>
    <w:rsid w:val="0039320F"/>
    <w:rsid w:val="00394D69"/>
    <w:rsid w:val="00397267"/>
    <w:rsid w:val="00397630"/>
    <w:rsid w:val="00397AC5"/>
    <w:rsid w:val="003A17BA"/>
    <w:rsid w:val="003A1C2D"/>
    <w:rsid w:val="003A355A"/>
    <w:rsid w:val="003A3AC2"/>
    <w:rsid w:val="003A4F25"/>
    <w:rsid w:val="003A61F3"/>
    <w:rsid w:val="003A7740"/>
    <w:rsid w:val="003A78C3"/>
    <w:rsid w:val="003B04B5"/>
    <w:rsid w:val="003B0D06"/>
    <w:rsid w:val="003B1007"/>
    <w:rsid w:val="003B229B"/>
    <w:rsid w:val="003B2945"/>
    <w:rsid w:val="003B2CA9"/>
    <w:rsid w:val="003B6056"/>
    <w:rsid w:val="003B69AF"/>
    <w:rsid w:val="003C0EE8"/>
    <w:rsid w:val="003C32FC"/>
    <w:rsid w:val="003C72C4"/>
    <w:rsid w:val="003D3236"/>
    <w:rsid w:val="003D453C"/>
    <w:rsid w:val="003D5460"/>
    <w:rsid w:val="003D55FD"/>
    <w:rsid w:val="003D5AB4"/>
    <w:rsid w:val="003D7E9C"/>
    <w:rsid w:val="003E2209"/>
    <w:rsid w:val="003E2D20"/>
    <w:rsid w:val="003E3BF8"/>
    <w:rsid w:val="003E52E9"/>
    <w:rsid w:val="003E741C"/>
    <w:rsid w:val="003F108F"/>
    <w:rsid w:val="003F142A"/>
    <w:rsid w:val="003F40AE"/>
    <w:rsid w:val="003F546F"/>
    <w:rsid w:val="003F69AC"/>
    <w:rsid w:val="004045B7"/>
    <w:rsid w:val="00404CE0"/>
    <w:rsid w:val="00405FFC"/>
    <w:rsid w:val="00406E86"/>
    <w:rsid w:val="004072A0"/>
    <w:rsid w:val="00411879"/>
    <w:rsid w:val="004133FD"/>
    <w:rsid w:val="00414B2F"/>
    <w:rsid w:val="004162A5"/>
    <w:rsid w:val="0042198E"/>
    <w:rsid w:val="00421F83"/>
    <w:rsid w:val="00422FBF"/>
    <w:rsid w:val="00426C86"/>
    <w:rsid w:val="00433154"/>
    <w:rsid w:val="004352B7"/>
    <w:rsid w:val="004361BC"/>
    <w:rsid w:val="004415CC"/>
    <w:rsid w:val="00441E11"/>
    <w:rsid w:val="0044283C"/>
    <w:rsid w:val="00443018"/>
    <w:rsid w:val="004443AE"/>
    <w:rsid w:val="00447694"/>
    <w:rsid w:val="00450ADE"/>
    <w:rsid w:val="00452A60"/>
    <w:rsid w:val="00453B24"/>
    <w:rsid w:val="004544A4"/>
    <w:rsid w:val="00455F11"/>
    <w:rsid w:val="00461FAF"/>
    <w:rsid w:val="004634F3"/>
    <w:rsid w:val="00464610"/>
    <w:rsid w:val="00465D21"/>
    <w:rsid w:val="00470D33"/>
    <w:rsid w:val="004722A4"/>
    <w:rsid w:val="00480068"/>
    <w:rsid w:val="0048330B"/>
    <w:rsid w:val="00483FEB"/>
    <w:rsid w:val="00484808"/>
    <w:rsid w:val="004919B0"/>
    <w:rsid w:val="004925C1"/>
    <w:rsid w:val="0049598C"/>
    <w:rsid w:val="00496709"/>
    <w:rsid w:val="00496971"/>
    <w:rsid w:val="00497DCC"/>
    <w:rsid w:val="004A2770"/>
    <w:rsid w:val="004A2959"/>
    <w:rsid w:val="004A390F"/>
    <w:rsid w:val="004A4B98"/>
    <w:rsid w:val="004A62FE"/>
    <w:rsid w:val="004B0008"/>
    <w:rsid w:val="004B097B"/>
    <w:rsid w:val="004B0B79"/>
    <w:rsid w:val="004B34DC"/>
    <w:rsid w:val="004B44B6"/>
    <w:rsid w:val="004B59FA"/>
    <w:rsid w:val="004B6F45"/>
    <w:rsid w:val="004C00E0"/>
    <w:rsid w:val="004C0368"/>
    <w:rsid w:val="004C1BF4"/>
    <w:rsid w:val="004C362E"/>
    <w:rsid w:val="004C4491"/>
    <w:rsid w:val="004C4BEA"/>
    <w:rsid w:val="004C622F"/>
    <w:rsid w:val="004C64A0"/>
    <w:rsid w:val="004C7740"/>
    <w:rsid w:val="004C7EC4"/>
    <w:rsid w:val="004D1291"/>
    <w:rsid w:val="004D21B5"/>
    <w:rsid w:val="004D30CC"/>
    <w:rsid w:val="004D37F7"/>
    <w:rsid w:val="004D3D28"/>
    <w:rsid w:val="004D7ADB"/>
    <w:rsid w:val="004D7FA6"/>
    <w:rsid w:val="004E0305"/>
    <w:rsid w:val="004E0EDF"/>
    <w:rsid w:val="004E0F8B"/>
    <w:rsid w:val="004E1D92"/>
    <w:rsid w:val="004E1E39"/>
    <w:rsid w:val="004E4D11"/>
    <w:rsid w:val="004E5070"/>
    <w:rsid w:val="004E5402"/>
    <w:rsid w:val="004E6D94"/>
    <w:rsid w:val="004F1FB2"/>
    <w:rsid w:val="004F5807"/>
    <w:rsid w:val="004F76CF"/>
    <w:rsid w:val="004F79C4"/>
    <w:rsid w:val="005000AE"/>
    <w:rsid w:val="00501085"/>
    <w:rsid w:val="0050221C"/>
    <w:rsid w:val="00503B39"/>
    <w:rsid w:val="005048FF"/>
    <w:rsid w:val="00505465"/>
    <w:rsid w:val="00514699"/>
    <w:rsid w:val="00521907"/>
    <w:rsid w:val="00522470"/>
    <w:rsid w:val="00526263"/>
    <w:rsid w:val="00530B3D"/>
    <w:rsid w:val="00530C63"/>
    <w:rsid w:val="00530F29"/>
    <w:rsid w:val="0053207E"/>
    <w:rsid w:val="005332A5"/>
    <w:rsid w:val="00533612"/>
    <w:rsid w:val="00533B4E"/>
    <w:rsid w:val="005349A7"/>
    <w:rsid w:val="00536EB1"/>
    <w:rsid w:val="00540190"/>
    <w:rsid w:val="0054538C"/>
    <w:rsid w:val="00545E47"/>
    <w:rsid w:val="0054637A"/>
    <w:rsid w:val="005474E1"/>
    <w:rsid w:val="00550491"/>
    <w:rsid w:val="0055344D"/>
    <w:rsid w:val="00553947"/>
    <w:rsid w:val="0055547C"/>
    <w:rsid w:val="0055564E"/>
    <w:rsid w:val="00556355"/>
    <w:rsid w:val="005563AD"/>
    <w:rsid w:val="00556DA3"/>
    <w:rsid w:val="00557870"/>
    <w:rsid w:val="00561439"/>
    <w:rsid w:val="00561B24"/>
    <w:rsid w:val="00562D04"/>
    <w:rsid w:val="00562D5A"/>
    <w:rsid w:val="00565A5D"/>
    <w:rsid w:val="0056623D"/>
    <w:rsid w:val="00567EDC"/>
    <w:rsid w:val="0057219E"/>
    <w:rsid w:val="005729E8"/>
    <w:rsid w:val="00573F3A"/>
    <w:rsid w:val="005764E1"/>
    <w:rsid w:val="00580320"/>
    <w:rsid w:val="00581265"/>
    <w:rsid w:val="00582481"/>
    <w:rsid w:val="00583229"/>
    <w:rsid w:val="00583391"/>
    <w:rsid w:val="00583571"/>
    <w:rsid w:val="00587823"/>
    <w:rsid w:val="00590729"/>
    <w:rsid w:val="00591311"/>
    <w:rsid w:val="005938EB"/>
    <w:rsid w:val="00593B85"/>
    <w:rsid w:val="005947ED"/>
    <w:rsid w:val="005A3155"/>
    <w:rsid w:val="005B1101"/>
    <w:rsid w:val="005B2DCD"/>
    <w:rsid w:val="005B57B5"/>
    <w:rsid w:val="005B66C1"/>
    <w:rsid w:val="005B6E47"/>
    <w:rsid w:val="005B76C3"/>
    <w:rsid w:val="005B7778"/>
    <w:rsid w:val="005C0DFB"/>
    <w:rsid w:val="005C10F4"/>
    <w:rsid w:val="005C42F7"/>
    <w:rsid w:val="005C4CE0"/>
    <w:rsid w:val="005C67B1"/>
    <w:rsid w:val="005C7681"/>
    <w:rsid w:val="005C7AC9"/>
    <w:rsid w:val="005C7C79"/>
    <w:rsid w:val="005D4326"/>
    <w:rsid w:val="005D5B5D"/>
    <w:rsid w:val="005D69DC"/>
    <w:rsid w:val="005D754D"/>
    <w:rsid w:val="005E17FF"/>
    <w:rsid w:val="005E3897"/>
    <w:rsid w:val="005E6F79"/>
    <w:rsid w:val="005F1F21"/>
    <w:rsid w:val="005F3130"/>
    <w:rsid w:val="005F35E3"/>
    <w:rsid w:val="005F5BD6"/>
    <w:rsid w:val="005F64E4"/>
    <w:rsid w:val="00600012"/>
    <w:rsid w:val="00603530"/>
    <w:rsid w:val="006076D0"/>
    <w:rsid w:val="00611824"/>
    <w:rsid w:val="00612ED8"/>
    <w:rsid w:val="00614FFC"/>
    <w:rsid w:val="00616C45"/>
    <w:rsid w:val="0062051B"/>
    <w:rsid w:val="00621403"/>
    <w:rsid w:val="00622488"/>
    <w:rsid w:val="00624069"/>
    <w:rsid w:val="006266CB"/>
    <w:rsid w:val="0062747B"/>
    <w:rsid w:val="00630C0B"/>
    <w:rsid w:val="00631EC9"/>
    <w:rsid w:val="0063206D"/>
    <w:rsid w:val="006350C6"/>
    <w:rsid w:val="00636AB3"/>
    <w:rsid w:val="00636C7D"/>
    <w:rsid w:val="006405D7"/>
    <w:rsid w:val="00641281"/>
    <w:rsid w:val="00641524"/>
    <w:rsid w:val="0064420C"/>
    <w:rsid w:val="00644C39"/>
    <w:rsid w:val="00645923"/>
    <w:rsid w:val="00645EA0"/>
    <w:rsid w:val="006462B3"/>
    <w:rsid w:val="0064660E"/>
    <w:rsid w:val="00647EDC"/>
    <w:rsid w:val="00654841"/>
    <w:rsid w:val="00654A6B"/>
    <w:rsid w:val="00657486"/>
    <w:rsid w:val="006608CC"/>
    <w:rsid w:val="00660BBC"/>
    <w:rsid w:val="00662547"/>
    <w:rsid w:val="0066297C"/>
    <w:rsid w:val="00666F2B"/>
    <w:rsid w:val="00667309"/>
    <w:rsid w:val="0066735D"/>
    <w:rsid w:val="00667E6B"/>
    <w:rsid w:val="00667E9B"/>
    <w:rsid w:val="00672674"/>
    <w:rsid w:val="006734B7"/>
    <w:rsid w:val="00675D27"/>
    <w:rsid w:val="006767CD"/>
    <w:rsid w:val="00676870"/>
    <w:rsid w:val="00681D11"/>
    <w:rsid w:val="006820F1"/>
    <w:rsid w:val="006822D7"/>
    <w:rsid w:val="00682860"/>
    <w:rsid w:val="00684BF6"/>
    <w:rsid w:val="00686DB3"/>
    <w:rsid w:val="00690D6D"/>
    <w:rsid w:val="00693A20"/>
    <w:rsid w:val="006941AE"/>
    <w:rsid w:val="00695B9C"/>
    <w:rsid w:val="00696ABF"/>
    <w:rsid w:val="006A2AEF"/>
    <w:rsid w:val="006A5206"/>
    <w:rsid w:val="006A69AB"/>
    <w:rsid w:val="006A6C95"/>
    <w:rsid w:val="006A7575"/>
    <w:rsid w:val="006B1132"/>
    <w:rsid w:val="006B14E3"/>
    <w:rsid w:val="006B1C85"/>
    <w:rsid w:val="006B1EFF"/>
    <w:rsid w:val="006B277D"/>
    <w:rsid w:val="006B3D56"/>
    <w:rsid w:val="006B4284"/>
    <w:rsid w:val="006B4A70"/>
    <w:rsid w:val="006B5CC2"/>
    <w:rsid w:val="006B5DD2"/>
    <w:rsid w:val="006B62DF"/>
    <w:rsid w:val="006C004E"/>
    <w:rsid w:val="006C0EB2"/>
    <w:rsid w:val="006D2BE9"/>
    <w:rsid w:val="006D3DDC"/>
    <w:rsid w:val="006D4C17"/>
    <w:rsid w:val="006D59F6"/>
    <w:rsid w:val="006D6359"/>
    <w:rsid w:val="006D63D3"/>
    <w:rsid w:val="006E03F2"/>
    <w:rsid w:val="006E24F5"/>
    <w:rsid w:val="006E2A77"/>
    <w:rsid w:val="006E58A7"/>
    <w:rsid w:val="006E7417"/>
    <w:rsid w:val="006E759F"/>
    <w:rsid w:val="006F1FBD"/>
    <w:rsid w:val="006F6120"/>
    <w:rsid w:val="006F7301"/>
    <w:rsid w:val="006F74F6"/>
    <w:rsid w:val="00702C00"/>
    <w:rsid w:val="00702E3A"/>
    <w:rsid w:val="00703DBF"/>
    <w:rsid w:val="00704204"/>
    <w:rsid w:val="007052CA"/>
    <w:rsid w:val="0070547A"/>
    <w:rsid w:val="00706FB2"/>
    <w:rsid w:val="007077E8"/>
    <w:rsid w:val="007077E9"/>
    <w:rsid w:val="00710BE7"/>
    <w:rsid w:val="007120E4"/>
    <w:rsid w:val="00712372"/>
    <w:rsid w:val="0071257C"/>
    <w:rsid w:val="00712B13"/>
    <w:rsid w:val="00713145"/>
    <w:rsid w:val="00714649"/>
    <w:rsid w:val="00714AE2"/>
    <w:rsid w:val="007151C6"/>
    <w:rsid w:val="00715A7A"/>
    <w:rsid w:val="00715D88"/>
    <w:rsid w:val="0072117D"/>
    <w:rsid w:val="00721849"/>
    <w:rsid w:val="00721978"/>
    <w:rsid w:val="00721CA7"/>
    <w:rsid w:val="00722679"/>
    <w:rsid w:val="00722AF8"/>
    <w:rsid w:val="00722C60"/>
    <w:rsid w:val="00723029"/>
    <w:rsid w:val="00725057"/>
    <w:rsid w:val="007316FA"/>
    <w:rsid w:val="00731AB1"/>
    <w:rsid w:val="0073596B"/>
    <w:rsid w:val="00735C10"/>
    <w:rsid w:val="0073700D"/>
    <w:rsid w:val="007455BC"/>
    <w:rsid w:val="0074721D"/>
    <w:rsid w:val="0075072C"/>
    <w:rsid w:val="0075136D"/>
    <w:rsid w:val="00752C23"/>
    <w:rsid w:val="0075328B"/>
    <w:rsid w:val="0076170D"/>
    <w:rsid w:val="00762BDF"/>
    <w:rsid w:val="0076448D"/>
    <w:rsid w:val="00766786"/>
    <w:rsid w:val="007711CE"/>
    <w:rsid w:val="00772676"/>
    <w:rsid w:val="007743FA"/>
    <w:rsid w:val="00774A56"/>
    <w:rsid w:val="00774EC2"/>
    <w:rsid w:val="00775D8C"/>
    <w:rsid w:val="00781735"/>
    <w:rsid w:val="00781D2D"/>
    <w:rsid w:val="00785800"/>
    <w:rsid w:val="007874B5"/>
    <w:rsid w:val="00791AFC"/>
    <w:rsid w:val="00795CE0"/>
    <w:rsid w:val="007A0577"/>
    <w:rsid w:val="007A2BBD"/>
    <w:rsid w:val="007A582D"/>
    <w:rsid w:val="007A789F"/>
    <w:rsid w:val="007B11C8"/>
    <w:rsid w:val="007B3C38"/>
    <w:rsid w:val="007B4080"/>
    <w:rsid w:val="007B5838"/>
    <w:rsid w:val="007B5ABE"/>
    <w:rsid w:val="007C05C5"/>
    <w:rsid w:val="007C23DE"/>
    <w:rsid w:val="007C472A"/>
    <w:rsid w:val="007C4A9C"/>
    <w:rsid w:val="007D094B"/>
    <w:rsid w:val="007D62D9"/>
    <w:rsid w:val="007D67B4"/>
    <w:rsid w:val="007D6863"/>
    <w:rsid w:val="007E17CF"/>
    <w:rsid w:val="007E273F"/>
    <w:rsid w:val="007E29DF"/>
    <w:rsid w:val="007E4609"/>
    <w:rsid w:val="007E4924"/>
    <w:rsid w:val="007E526D"/>
    <w:rsid w:val="007E5B66"/>
    <w:rsid w:val="007E6D2D"/>
    <w:rsid w:val="007F0F9B"/>
    <w:rsid w:val="007F1EA6"/>
    <w:rsid w:val="007F2B83"/>
    <w:rsid w:val="00800CFF"/>
    <w:rsid w:val="0080160D"/>
    <w:rsid w:val="00801D7A"/>
    <w:rsid w:val="0080211E"/>
    <w:rsid w:val="00802750"/>
    <w:rsid w:val="00802F9C"/>
    <w:rsid w:val="00804526"/>
    <w:rsid w:val="008045FA"/>
    <w:rsid w:val="00805FA8"/>
    <w:rsid w:val="00806978"/>
    <w:rsid w:val="008069B6"/>
    <w:rsid w:val="00810DCC"/>
    <w:rsid w:val="00811F7E"/>
    <w:rsid w:val="0081234B"/>
    <w:rsid w:val="00817C03"/>
    <w:rsid w:val="0082255B"/>
    <w:rsid w:val="008229BF"/>
    <w:rsid w:val="00824DDD"/>
    <w:rsid w:val="00825953"/>
    <w:rsid w:val="00832468"/>
    <w:rsid w:val="00833C8A"/>
    <w:rsid w:val="00835303"/>
    <w:rsid w:val="008362F8"/>
    <w:rsid w:val="00836CBC"/>
    <w:rsid w:val="00837CAF"/>
    <w:rsid w:val="00837E0D"/>
    <w:rsid w:val="00837E43"/>
    <w:rsid w:val="00841C0F"/>
    <w:rsid w:val="00843706"/>
    <w:rsid w:val="00843D2B"/>
    <w:rsid w:val="00847137"/>
    <w:rsid w:val="00847937"/>
    <w:rsid w:val="00847D24"/>
    <w:rsid w:val="00853B2B"/>
    <w:rsid w:val="0085534B"/>
    <w:rsid w:val="00856989"/>
    <w:rsid w:val="008578BC"/>
    <w:rsid w:val="00857B34"/>
    <w:rsid w:val="0086183D"/>
    <w:rsid w:val="0086387F"/>
    <w:rsid w:val="00864111"/>
    <w:rsid w:val="00864FD5"/>
    <w:rsid w:val="008675E9"/>
    <w:rsid w:val="00871019"/>
    <w:rsid w:val="00871F52"/>
    <w:rsid w:val="00873E51"/>
    <w:rsid w:val="0087434C"/>
    <w:rsid w:val="00876AAA"/>
    <w:rsid w:val="00880841"/>
    <w:rsid w:val="008819FB"/>
    <w:rsid w:val="00882C9F"/>
    <w:rsid w:val="00883555"/>
    <w:rsid w:val="00884991"/>
    <w:rsid w:val="0088539A"/>
    <w:rsid w:val="00887D31"/>
    <w:rsid w:val="0089101A"/>
    <w:rsid w:val="00892487"/>
    <w:rsid w:val="00895053"/>
    <w:rsid w:val="008956FC"/>
    <w:rsid w:val="0089593F"/>
    <w:rsid w:val="00896427"/>
    <w:rsid w:val="00897220"/>
    <w:rsid w:val="008A1774"/>
    <w:rsid w:val="008A4528"/>
    <w:rsid w:val="008A4CCB"/>
    <w:rsid w:val="008B0C59"/>
    <w:rsid w:val="008B0D9D"/>
    <w:rsid w:val="008B3EC0"/>
    <w:rsid w:val="008B480C"/>
    <w:rsid w:val="008B5359"/>
    <w:rsid w:val="008C0793"/>
    <w:rsid w:val="008C359A"/>
    <w:rsid w:val="008C6B78"/>
    <w:rsid w:val="008D38E1"/>
    <w:rsid w:val="008D44DF"/>
    <w:rsid w:val="008D49B1"/>
    <w:rsid w:val="008D536D"/>
    <w:rsid w:val="008D5BCD"/>
    <w:rsid w:val="008D6006"/>
    <w:rsid w:val="008D77EB"/>
    <w:rsid w:val="008E141A"/>
    <w:rsid w:val="008E5D85"/>
    <w:rsid w:val="008E6D7F"/>
    <w:rsid w:val="008E7E7D"/>
    <w:rsid w:val="008F005A"/>
    <w:rsid w:val="008F209D"/>
    <w:rsid w:val="008F2D14"/>
    <w:rsid w:val="008F3620"/>
    <w:rsid w:val="008F4976"/>
    <w:rsid w:val="008F6A3C"/>
    <w:rsid w:val="008F6F3E"/>
    <w:rsid w:val="008F7780"/>
    <w:rsid w:val="0090162A"/>
    <w:rsid w:val="00902247"/>
    <w:rsid w:val="0090421B"/>
    <w:rsid w:val="00905347"/>
    <w:rsid w:val="00905E59"/>
    <w:rsid w:val="009138FF"/>
    <w:rsid w:val="009139C2"/>
    <w:rsid w:val="0091453A"/>
    <w:rsid w:val="009154AB"/>
    <w:rsid w:val="00915870"/>
    <w:rsid w:val="00916BF7"/>
    <w:rsid w:val="00916D60"/>
    <w:rsid w:val="00917B10"/>
    <w:rsid w:val="00920944"/>
    <w:rsid w:val="00925E58"/>
    <w:rsid w:val="00927AA7"/>
    <w:rsid w:val="00927F72"/>
    <w:rsid w:val="00930D3F"/>
    <w:rsid w:val="0093118E"/>
    <w:rsid w:val="00932243"/>
    <w:rsid w:val="00932C01"/>
    <w:rsid w:val="0093343F"/>
    <w:rsid w:val="00933BAC"/>
    <w:rsid w:val="00935C08"/>
    <w:rsid w:val="009414C0"/>
    <w:rsid w:val="00945393"/>
    <w:rsid w:val="0094541B"/>
    <w:rsid w:val="00947FCF"/>
    <w:rsid w:val="009531D4"/>
    <w:rsid w:val="00953400"/>
    <w:rsid w:val="00953E7C"/>
    <w:rsid w:val="00954990"/>
    <w:rsid w:val="00954BE2"/>
    <w:rsid w:val="009569C1"/>
    <w:rsid w:val="009570C0"/>
    <w:rsid w:val="00962680"/>
    <w:rsid w:val="00964FCE"/>
    <w:rsid w:val="00966AEB"/>
    <w:rsid w:val="0096764D"/>
    <w:rsid w:val="00975F95"/>
    <w:rsid w:val="0097636C"/>
    <w:rsid w:val="009777A6"/>
    <w:rsid w:val="00977944"/>
    <w:rsid w:val="00980451"/>
    <w:rsid w:val="00981D48"/>
    <w:rsid w:val="00982E4C"/>
    <w:rsid w:val="00982EB2"/>
    <w:rsid w:val="00986078"/>
    <w:rsid w:val="00986B7D"/>
    <w:rsid w:val="00986C4D"/>
    <w:rsid w:val="00990F2B"/>
    <w:rsid w:val="009928B5"/>
    <w:rsid w:val="009974B6"/>
    <w:rsid w:val="009A10F8"/>
    <w:rsid w:val="009A1242"/>
    <w:rsid w:val="009A1DB0"/>
    <w:rsid w:val="009A1E45"/>
    <w:rsid w:val="009A40E6"/>
    <w:rsid w:val="009A43C0"/>
    <w:rsid w:val="009A5A68"/>
    <w:rsid w:val="009A5E72"/>
    <w:rsid w:val="009A6681"/>
    <w:rsid w:val="009B5072"/>
    <w:rsid w:val="009B5967"/>
    <w:rsid w:val="009B6459"/>
    <w:rsid w:val="009B68DB"/>
    <w:rsid w:val="009B770B"/>
    <w:rsid w:val="009B7BAE"/>
    <w:rsid w:val="009C1500"/>
    <w:rsid w:val="009C16F1"/>
    <w:rsid w:val="009C20DD"/>
    <w:rsid w:val="009C58B1"/>
    <w:rsid w:val="009D0EB5"/>
    <w:rsid w:val="009D10FF"/>
    <w:rsid w:val="009D3F1D"/>
    <w:rsid w:val="009D4384"/>
    <w:rsid w:val="009D4802"/>
    <w:rsid w:val="009D497A"/>
    <w:rsid w:val="009D7AFE"/>
    <w:rsid w:val="009E0FA4"/>
    <w:rsid w:val="009E167D"/>
    <w:rsid w:val="009E239A"/>
    <w:rsid w:val="009E4764"/>
    <w:rsid w:val="009E6F50"/>
    <w:rsid w:val="009E72E1"/>
    <w:rsid w:val="009F048D"/>
    <w:rsid w:val="009F0B64"/>
    <w:rsid w:val="009F3F87"/>
    <w:rsid w:val="009F48D7"/>
    <w:rsid w:val="009F6798"/>
    <w:rsid w:val="00A01CA1"/>
    <w:rsid w:val="00A0261E"/>
    <w:rsid w:val="00A04D52"/>
    <w:rsid w:val="00A04E74"/>
    <w:rsid w:val="00A0601D"/>
    <w:rsid w:val="00A0666A"/>
    <w:rsid w:val="00A13007"/>
    <w:rsid w:val="00A139FF"/>
    <w:rsid w:val="00A14DCD"/>
    <w:rsid w:val="00A15207"/>
    <w:rsid w:val="00A1577A"/>
    <w:rsid w:val="00A213B7"/>
    <w:rsid w:val="00A2297B"/>
    <w:rsid w:val="00A23659"/>
    <w:rsid w:val="00A23DAD"/>
    <w:rsid w:val="00A240E2"/>
    <w:rsid w:val="00A24476"/>
    <w:rsid w:val="00A27914"/>
    <w:rsid w:val="00A302E0"/>
    <w:rsid w:val="00A3192D"/>
    <w:rsid w:val="00A3381B"/>
    <w:rsid w:val="00A3725F"/>
    <w:rsid w:val="00A40546"/>
    <w:rsid w:val="00A4452B"/>
    <w:rsid w:val="00A44AB1"/>
    <w:rsid w:val="00A45823"/>
    <w:rsid w:val="00A47CDA"/>
    <w:rsid w:val="00A5078C"/>
    <w:rsid w:val="00A51A7B"/>
    <w:rsid w:val="00A52F38"/>
    <w:rsid w:val="00A549A2"/>
    <w:rsid w:val="00A560FB"/>
    <w:rsid w:val="00A57475"/>
    <w:rsid w:val="00A575ED"/>
    <w:rsid w:val="00A60438"/>
    <w:rsid w:val="00A61A61"/>
    <w:rsid w:val="00A64EB6"/>
    <w:rsid w:val="00A67DEC"/>
    <w:rsid w:val="00A71FF1"/>
    <w:rsid w:val="00A72953"/>
    <w:rsid w:val="00A73106"/>
    <w:rsid w:val="00A74A90"/>
    <w:rsid w:val="00A74B59"/>
    <w:rsid w:val="00A75C59"/>
    <w:rsid w:val="00A75F7A"/>
    <w:rsid w:val="00A767C7"/>
    <w:rsid w:val="00A7733C"/>
    <w:rsid w:val="00A804C1"/>
    <w:rsid w:val="00A80C4F"/>
    <w:rsid w:val="00A82AC1"/>
    <w:rsid w:val="00A835C4"/>
    <w:rsid w:val="00A84D97"/>
    <w:rsid w:val="00A9014F"/>
    <w:rsid w:val="00A90E5D"/>
    <w:rsid w:val="00A92179"/>
    <w:rsid w:val="00A921B7"/>
    <w:rsid w:val="00A937C1"/>
    <w:rsid w:val="00A9431D"/>
    <w:rsid w:val="00A94C24"/>
    <w:rsid w:val="00A95135"/>
    <w:rsid w:val="00A97E6B"/>
    <w:rsid w:val="00AA22B0"/>
    <w:rsid w:val="00AA3F6E"/>
    <w:rsid w:val="00AA5F51"/>
    <w:rsid w:val="00AA6077"/>
    <w:rsid w:val="00AA628D"/>
    <w:rsid w:val="00AB1341"/>
    <w:rsid w:val="00AB195A"/>
    <w:rsid w:val="00AB34C9"/>
    <w:rsid w:val="00AB3A4B"/>
    <w:rsid w:val="00AB68BC"/>
    <w:rsid w:val="00AB6A85"/>
    <w:rsid w:val="00AB6DAC"/>
    <w:rsid w:val="00AC1B9F"/>
    <w:rsid w:val="00AC6D61"/>
    <w:rsid w:val="00AC6FE6"/>
    <w:rsid w:val="00AC786B"/>
    <w:rsid w:val="00AC7E57"/>
    <w:rsid w:val="00AC7EF1"/>
    <w:rsid w:val="00AD03F2"/>
    <w:rsid w:val="00AD31B1"/>
    <w:rsid w:val="00AD322E"/>
    <w:rsid w:val="00AD33DF"/>
    <w:rsid w:val="00AD45D6"/>
    <w:rsid w:val="00AD53B5"/>
    <w:rsid w:val="00AD631B"/>
    <w:rsid w:val="00AD72F4"/>
    <w:rsid w:val="00AD744A"/>
    <w:rsid w:val="00AD7F1B"/>
    <w:rsid w:val="00AE0FF7"/>
    <w:rsid w:val="00AE3C88"/>
    <w:rsid w:val="00AE45B7"/>
    <w:rsid w:val="00AE715F"/>
    <w:rsid w:val="00AF003D"/>
    <w:rsid w:val="00AF1065"/>
    <w:rsid w:val="00AF12AB"/>
    <w:rsid w:val="00AF2C5D"/>
    <w:rsid w:val="00AF37BA"/>
    <w:rsid w:val="00AF3CB0"/>
    <w:rsid w:val="00AF43BF"/>
    <w:rsid w:val="00AF7E21"/>
    <w:rsid w:val="00B02C50"/>
    <w:rsid w:val="00B031D3"/>
    <w:rsid w:val="00B03A93"/>
    <w:rsid w:val="00B03EAC"/>
    <w:rsid w:val="00B057AB"/>
    <w:rsid w:val="00B06AD9"/>
    <w:rsid w:val="00B074EA"/>
    <w:rsid w:val="00B078DE"/>
    <w:rsid w:val="00B110D0"/>
    <w:rsid w:val="00B1180A"/>
    <w:rsid w:val="00B12E3B"/>
    <w:rsid w:val="00B1300C"/>
    <w:rsid w:val="00B158D9"/>
    <w:rsid w:val="00B16C27"/>
    <w:rsid w:val="00B23603"/>
    <w:rsid w:val="00B24110"/>
    <w:rsid w:val="00B24287"/>
    <w:rsid w:val="00B30559"/>
    <w:rsid w:val="00B30B6E"/>
    <w:rsid w:val="00B310DC"/>
    <w:rsid w:val="00B316FA"/>
    <w:rsid w:val="00B31A48"/>
    <w:rsid w:val="00B322AC"/>
    <w:rsid w:val="00B35B91"/>
    <w:rsid w:val="00B35ECA"/>
    <w:rsid w:val="00B36C9F"/>
    <w:rsid w:val="00B402D7"/>
    <w:rsid w:val="00B439F1"/>
    <w:rsid w:val="00B44BF1"/>
    <w:rsid w:val="00B500FB"/>
    <w:rsid w:val="00B5178C"/>
    <w:rsid w:val="00B52133"/>
    <w:rsid w:val="00B55FC0"/>
    <w:rsid w:val="00B60535"/>
    <w:rsid w:val="00B60E24"/>
    <w:rsid w:val="00B61C4A"/>
    <w:rsid w:val="00B63837"/>
    <w:rsid w:val="00B64D5B"/>
    <w:rsid w:val="00B65EE3"/>
    <w:rsid w:val="00B6642D"/>
    <w:rsid w:val="00B6703C"/>
    <w:rsid w:val="00B70154"/>
    <w:rsid w:val="00B70973"/>
    <w:rsid w:val="00B7227C"/>
    <w:rsid w:val="00B72C03"/>
    <w:rsid w:val="00B72DD4"/>
    <w:rsid w:val="00B7546B"/>
    <w:rsid w:val="00B7662E"/>
    <w:rsid w:val="00B76F1E"/>
    <w:rsid w:val="00B771C9"/>
    <w:rsid w:val="00B80783"/>
    <w:rsid w:val="00B80EB0"/>
    <w:rsid w:val="00B8380A"/>
    <w:rsid w:val="00B84C4E"/>
    <w:rsid w:val="00B85251"/>
    <w:rsid w:val="00B9022A"/>
    <w:rsid w:val="00B92D40"/>
    <w:rsid w:val="00B92D69"/>
    <w:rsid w:val="00B9614C"/>
    <w:rsid w:val="00BA2247"/>
    <w:rsid w:val="00BA36A6"/>
    <w:rsid w:val="00BA4130"/>
    <w:rsid w:val="00BA4B42"/>
    <w:rsid w:val="00BA734F"/>
    <w:rsid w:val="00BB0E0F"/>
    <w:rsid w:val="00BB2CE5"/>
    <w:rsid w:val="00BB32CE"/>
    <w:rsid w:val="00BB5C3E"/>
    <w:rsid w:val="00BB61B5"/>
    <w:rsid w:val="00BC37D1"/>
    <w:rsid w:val="00BC3995"/>
    <w:rsid w:val="00BC75A6"/>
    <w:rsid w:val="00BD3130"/>
    <w:rsid w:val="00BD42D8"/>
    <w:rsid w:val="00BD7291"/>
    <w:rsid w:val="00BD7345"/>
    <w:rsid w:val="00BE15BD"/>
    <w:rsid w:val="00BE18FA"/>
    <w:rsid w:val="00BE1904"/>
    <w:rsid w:val="00BE354F"/>
    <w:rsid w:val="00BE5570"/>
    <w:rsid w:val="00BE6A25"/>
    <w:rsid w:val="00BE6EFC"/>
    <w:rsid w:val="00BE7654"/>
    <w:rsid w:val="00BE7AA1"/>
    <w:rsid w:val="00BF068C"/>
    <w:rsid w:val="00BF0E1C"/>
    <w:rsid w:val="00BF143B"/>
    <w:rsid w:val="00BF1801"/>
    <w:rsid w:val="00BF5E71"/>
    <w:rsid w:val="00BF67C2"/>
    <w:rsid w:val="00C00006"/>
    <w:rsid w:val="00C0104B"/>
    <w:rsid w:val="00C02A6B"/>
    <w:rsid w:val="00C0322C"/>
    <w:rsid w:val="00C05AF3"/>
    <w:rsid w:val="00C104DD"/>
    <w:rsid w:val="00C235E3"/>
    <w:rsid w:val="00C23FFE"/>
    <w:rsid w:val="00C24481"/>
    <w:rsid w:val="00C24CF4"/>
    <w:rsid w:val="00C26383"/>
    <w:rsid w:val="00C31094"/>
    <w:rsid w:val="00C3117E"/>
    <w:rsid w:val="00C312C5"/>
    <w:rsid w:val="00C32B43"/>
    <w:rsid w:val="00C367CD"/>
    <w:rsid w:val="00C402D9"/>
    <w:rsid w:val="00C40A47"/>
    <w:rsid w:val="00C40D28"/>
    <w:rsid w:val="00C4140D"/>
    <w:rsid w:val="00C4190D"/>
    <w:rsid w:val="00C42327"/>
    <w:rsid w:val="00C42509"/>
    <w:rsid w:val="00C43EE2"/>
    <w:rsid w:val="00C43F1A"/>
    <w:rsid w:val="00C44747"/>
    <w:rsid w:val="00C4661F"/>
    <w:rsid w:val="00C47895"/>
    <w:rsid w:val="00C503D2"/>
    <w:rsid w:val="00C507A9"/>
    <w:rsid w:val="00C507F0"/>
    <w:rsid w:val="00C5255E"/>
    <w:rsid w:val="00C576EB"/>
    <w:rsid w:val="00C601A0"/>
    <w:rsid w:val="00C6022F"/>
    <w:rsid w:val="00C6222D"/>
    <w:rsid w:val="00C63964"/>
    <w:rsid w:val="00C65534"/>
    <w:rsid w:val="00C67371"/>
    <w:rsid w:val="00C6783B"/>
    <w:rsid w:val="00C7049F"/>
    <w:rsid w:val="00C72A97"/>
    <w:rsid w:val="00C72FD6"/>
    <w:rsid w:val="00C750BA"/>
    <w:rsid w:val="00C76D89"/>
    <w:rsid w:val="00C7742F"/>
    <w:rsid w:val="00C8187B"/>
    <w:rsid w:val="00C829F3"/>
    <w:rsid w:val="00C82D37"/>
    <w:rsid w:val="00C8307F"/>
    <w:rsid w:val="00C83917"/>
    <w:rsid w:val="00C83CC8"/>
    <w:rsid w:val="00C84293"/>
    <w:rsid w:val="00C84EF0"/>
    <w:rsid w:val="00C85D09"/>
    <w:rsid w:val="00C87143"/>
    <w:rsid w:val="00C9122B"/>
    <w:rsid w:val="00C93188"/>
    <w:rsid w:val="00C97C38"/>
    <w:rsid w:val="00CA0ECB"/>
    <w:rsid w:val="00CA1472"/>
    <w:rsid w:val="00CA28E3"/>
    <w:rsid w:val="00CA3ED9"/>
    <w:rsid w:val="00CA4526"/>
    <w:rsid w:val="00CA4708"/>
    <w:rsid w:val="00CA79F5"/>
    <w:rsid w:val="00CA7AD9"/>
    <w:rsid w:val="00CB0620"/>
    <w:rsid w:val="00CB088C"/>
    <w:rsid w:val="00CB0981"/>
    <w:rsid w:val="00CB0C50"/>
    <w:rsid w:val="00CB1099"/>
    <w:rsid w:val="00CB2480"/>
    <w:rsid w:val="00CB4808"/>
    <w:rsid w:val="00CB6800"/>
    <w:rsid w:val="00CC1380"/>
    <w:rsid w:val="00CC2E51"/>
    <w:rsid w:val="00CC53B4"/>
    <w:rsid w:val="00CC5A3B"/>
    <w:rsid w:val="00CC6F84"/>
    <w:rsid w:val="00CC7412"/>
    <w:rsid w:val="00CC7862"/>
    <w:rsid w:val="00CD28EC"/>
    <w:rsid w:val="00CD2C58"/>
    <w:rsid w:val="00CD315B"/>
    <w:rsid w:val="00CD380E"/>
    <w:rsid w:val="00CD61A0"/>
    <w:rsid w:val="00CD6639"/>
    <w:rsid w:val="00CD708F"/>
    <w:rsid w:val="00CD7505"/>
    <w:rsid w:val="00CD7AC8"/>
    <w:rsid w:val="00CE0DBA"/>
    <w:rsid w:val="00CE3145"/>
    <w:rsid w:val="00CE5CDC"/>
    <w:rsid w:val="00CE7AA7"/>
    <w:rsid w:val="00CF0285"/>
    <w:rsid w:val="00CF55D4"/>
    <w:rsid w:val="00D012A6"/>
    <w:rsid w:val="00D01A0F"/>
    <w:rsid w:val="00D01F63"/>
    <w:rsid w:val="00D03D9D"/>
    <w:rsid w:val="00D04850"/>
    <w:rsid w:val="00D052F9"/>
    <w:rsid w:val="00D10C5E"/>
    <w:rsid w:val="00D10D6F"/>
    <w:rsid w:val="00D11A1C"/>
    <w:rsid w:val="00D12AD8"/>
    <w:rsid w:val="00D14220"/>
    <w:rsid w:val="00D156B3"/>
    <w:rsid w:val="00D161FF"/>
    <w:rsid w:val="00D16CC7"/>
    <w:rsid w:val="00D17382"/>
    <w:rsid w:val="00D211D8"/>
    <w:rsid w:val="00D21FC1"/>
    <w:rsid w:val="00D22C5B"/>
    <w:rsid w:val="00D26986"/>
    <w:rsid w:val="00D271CF"/>
    <w:rsid w:val="00D276DC"/>
    <w:rsid w:val="00D31E16"/>
    <w:rsid w:val="00D32CB9"/>
    <w:rsid w:val="00D34799"/>
    <w:rsid w:val="00D36080"/>
    <w:rsid w:val="00D36A18"/>
    <w:rsid w:val="00D408D7"/>
    <w:rsid w:val="00D41E67"/>
    <w:rsid w:val="00D4300D"/>
    <w:rsid w:val="00D4629E"/>
    <w:rsid w:val="00D46840"/>
    <w:rsid w:val="00D504DB"/>
    <w:rsid w:val="00D51DD4"/>
    <w:rsid w:val="00D52136"/>
    <w:rsid w:val="00D52CC1"/>
    <w:rsid w:val="00D52EF8"/>
    <w:rsid w:val="00D53BAF"/>
    <w:rsid w:val="00D54399"/>
    <w:rsid w:val="00D553DA"/>
    <w:rsid w:val="00D56505"/>
    <w:rsid w:val="00D56B5C"/>
    <w:rsid w:val="00D57276"/>
    <w:rsid w:val="00D575CE"/>
    <w:rsid w:val="00D6035B"/>
    <w:rsid w:val="00D623D0"/>
    <w:rsid w:val="00D641A9"/>
    <w:rsid w:val="00D65E70"/>
    <w:rsid w:val="00D6629D"/>
    <w:rsid w:val="00D66633"/>
    <w:rsid w:val="00D667DC"/>
    <w:rsid w:val="00D67C3B"/>
    <w:rsid w:val="00D702B7"/>
    <w:rsid w:val="00D71420"/>
    <w:rsid w:val="00D728EA"/>
    <w:rsid w:val="00D73705"/>
    <w:rsid w:val="00D75228"/>
    <w:rsid w:val="00D757B0"/>
    <w:rsid w:val="00D817D7"/>
    <w:rsid w:val="00D87144"/>
    <w:rsid w:val="00D87560"/>
    <w:rsid w:val="00D87746"/>
    <w:rsid w:val="00D9094D"/>
    <w:rsid w:val="00D90D5D"/>
    <w:rsid w:val="00D922EB"/>
    <w:rsid w:val="00D948E0"/>
    <w:rsid w:val="00D97454"/>
    <w:rsid w:val="00D9783E"/>
    <w:rsid w:val="00DA16D9"/>
    <w:rsid w:val="00DA2490"/>
    <w:rsid w:val="00DA2760"/>
    <w:rsid w:val="00DA2779"/>
    <w:rsid w:val="00DA3619"/>
    <w:rsid w:val="00DA3674"/>
    <w:rsid w:val="00DA3990"/>
    <w:rsid w:val="00DA4A2A"/>
    <w:rsid w:val="00DA7E91"/>
    <w:rsid w:val="00DB0794"/>
    <w:rsid w:val="00DB0B52"/>
    <w:rsid w:val="00DB0C43"/>
    <w:rsid w:val="00DB17F7"/>
    <w:rsid w:val="00DB3282"/>
    <w:rsid w:val="00DB4649"/>
    <w:rsid w:val="00DB5C39"/>
    <w:rsid w:val="00DB7DAE"/>
    <w:rsid w:val="00DC1B63"/>
    <w:rsid w:val="00DC2C9C"/>
    <w:rsid w:val="00DC3253"/>
    <w:rsid w:val="00DC3534"/>
    <w:rsid w:val="00DC60A6"/>
    <w:rsid w:val="00DC6A9C"/>
    <w:rsid w:val="00DC757A"/>
    <w:rsid w:val="00DD0D3F"/>
    <w:rsid w:val="00DD130B"/>
    <w:rsid w:val="00DD2195"/>
    <w:rsid w:val="00DD2262"/>
    <w:rsid w:val="00DD27AA"/>
    <w:rsid w:val="00DD417D"/>
    <w:rsid w:val="00DD4279"/>
    <w:rsid w:val="00DD4A06"/>
    <w:rsid w:val="00DD541A"/>
    <w:rsid w:val="00DD5D70"/>
    <w:rsid w:val="00DD5DBE"/>
    <w:rsid w:val="00DD79F0"/>
    <w:rsid w:val="00DE1B77"/>
    <w:rsid w:val="00DE251A"/>
    <w:rsid w:val="00DE4368"/>
    <w:rsid w:val="00DE5AF4"/>
    <w:rsid w:val="00DE5FD9"/>
    <w:rsid w:val="00DE6D83"/>
    <w:rsid w:val="00DE7BBE"/>
    <w:rsid w:val="00DF1501"/>
    <w:rsid w:val="00DF2858"/>
    <w:rsid w:val="00DF39EB"/>
    <w:rsid w:val="00DF40A2"/>
    <w:rsid w:val="00DF490A"/>
    <w:rsid w:val="00DF52AA"/>
    <w:rsid w:val="00DF59D5"/>
    <w:rsid w:val="00E05389"/>
    <w:rsid w:val="00E05441"/>
    <w:rsid w:val="00E057EE"/>
    <w:rsid w:val="00E07772"/>
    <w:rsid w:val="00E12C0B"/>
    <w:rsid w:val="00E13CEB"/>
    <w:rsid w:val="00E169B5"/>
    <w:rsid w:val="00E17D40"/>
    <w:rsid w:val="00E213D9"/>
    <w:rsid w:val="00E21D55"/>
    <w:rsid w:val="00E23B52"/>
    <w:rsid w:val="00E2416C"/>
    <w:rsid w:val="00E24AF0"/>
    <w:rsid w:val="00E253C5"/>
    <w:rsid w:val="00E25B15"/>
    <w:rsid w:val="00E27768"/>
    <w:rsid w:val="00E2795C"/>
    <w:rsid w:val="00E27B34"/>
    <w:rsid w:val="00E3020C"/>
    <w:rsid w:val="00E30A35"/>
    <w:rsid w:val="00E30DDB"/>
    <w:rsid w:val="00E321B8"/>
    <w:rsid w:val="00E32A10"/>
    <w:rsid w:val="00E32D4F"/>
    <w:rsid w:val="00E3570A"/>
    <w:rsid w:val="00E35916"/>
    <w:rsid w:val="00E36477"/>
    <w:rsid w:val="00E406C4"/>
    <w:rsid w:val="00E42AA2"/>
    <w:rsid w:val="00E44CF4"/>
    <w:rsid w:val="00E47041"/>
    <w:rsid w:val="00E478E7"/>
    <w:rsid w:val="00E47F01"/>
    <w:rsid w:val="00E50598"/>
    <w:rsid w:val="00E50CA2"/>
    <w:rsid w:val="00E5239E"/>
    <w:rsid w:val="00E54AE2"/>
    <w:rsid w:val="00E5519D"/>
    <w:rsid w:val="00E55593"/>
    <w:rsid w:val="00E55B8C"/>
    <w:rsid w:val="00E57AD7"/>
    <w:rsid w:val="00E57C3B"/>
    <w:rsid w:val="00E60A31"/>
    <w:rsid w:val="00E61546"/>
    <w:rsid w:val="00E618CB"/>
    <w:rsid w:val="00E61EB1"/>
    <w:rsid w:val="00E623B5"/>
    <w:rsid w:val="00E65787"/>
    <w:rsid w:val="00E661BE"/>
    <w:rsid w:val="00E67843"/>
    <w:rsid w:val="00E720C3"/>
    <w:rsid w:val="00E72E5A"/>
    <w:rsid w:val="00E72F0F"/>
    <w:rsid w:val="00E74C7C"/>
    <w:rsid w:val="00E7695A"/>
    <w:rsid w:val="00E769FE"/>
    <w:rsid w:val="00E7771E"/>
    <w:rsid w:val="00E814EC"/>
    <w:rsid w:val="00E81A78"/>
    <w:rsid w:val="00E84FF8"/>
    <w:rsid w:val="00E855AA"/>
    <w:rsid w:val="00E86F01"/>
    <w:rsid w:val="00E879D7"/>
    <w:rsid w:val="00E87D09"/>
    <w:rsid w:val="00E87F56"/>
    <w:rsid w:val="00E90215"/>
    <w:rsid w:val="00E916F1"/>
    <w:rsid w:val="00E9214D"/>
    <w:rsid w:val="00E9409D"/>
    <w:rsid w:val="00EA161D"/>
    <w:rsid w:val="00EA20F2"/>
    <w:rsid w:val="00EA24D9"/>
    <w:rsid w:val="00EA4AA5"/>
    <w:rsid w:val="00EA4BFE"/>
    <w:rsid w:val="00EA4CD8"/>
    <w:rsid w:val="00EA5C97"/>
    <w:rsid w:val="00EA5D20"/>
    <w:rsid w:val="00EA64F4"/>
    <w:rsid w:val="00EA6643"/>
    <w:rsid w:val="00EB0F5D"/>
    <w:rsid w:val="00EB246B"/>
    <w:rsid w:val="00EB289A"/>
    <w:rsid w:val="00EB2C64"/>
    <w:rsid w:val="00EB304A"/>
    <w:rsid w:val="00EB753A"/>
    <w:rsid w:val="00EC22B6"/>
    <w:rsid w:val="00EC2F42"/>
    <w:rsid w:val="00EC304D"/>
    <w:rsid w:val="00EC383B"/>
    <w:rsid w:val="00EC44AC"/>
    <w:rsid w:val="00EC4D9B"/>
    <w:rsid w:val="00EC6C25"/>
    <w:rsid w:val="00ED02C0"/>
    <w:rsid w:val="00ED1643"/>
    <w:rsid w:val="00ED25A8"/>
    <w:rsid w:val="00ED2D72"/>
    <w:rsid w:val="00ED458F"/>
    <w:rsid w:val="00ED4D02"/>
    <w:rsid w:val="00ED5E40"/>
    <w:rsid w:val="00ED68F2"/>
    <w:rsid w:val="00EE0B36"/>
    <w:rsid w:val="00EE22FC"/>
    <w:rsid w:val="00EE33F0"/>
    <w:rsid w:val="00EE38B7"/>
    <w:rsid w:val="00EE3B38"/>
    <w:rsid w:val="00EE4444"/>
    <w:rsid w:val="00EE5544"/>
    <w:rsid w:val="00EE6718"/>
    <w:rsid w:val="00EE6748"/>
    <w:rsid w:val="00EE7396"/>
    <w:rsid w:val="00EE7A6C"/>
    <w:rsid w:val="00EF06F4"/>
    <w:rsid w:val="00EF19AD"/>
    <w:rsid w:val="00EF25BF"/>
    <w:rsid w:val="00EF6312"/>
    <w:rsid w:val="00EF6D0C"/>
    <w:rsid w:val="00F00810"/>
    <w:rsid w:val="00F010EA"/>
    <w:rsid w:val="00F01B3E"/>
    <w:rsid w:val="00F01D45"/>
    <w:rsid w:val="00F01F71"/>
    <w:rsid w:val="00F04A08"/>
    <w:rsid w:val="00F04D32"/>
    <w:rsid w:val="00F077A6"/>
    <w:rsid w:val="00F13A51"/>
    <w:rsid w:val="00F16B76"/>
    <w:rsid w:val="00F17DF8"/>
    <w:rsid w:val="00F21740"/>
    <w:rsid w:val="00F222C1"/>
    <w:rsid w:val="00F231EE"/>
    <w:rsid w:val="00F2391C"/>
    <w:rsid w:val="00F24656"/>
    <w:rsid w:val="00F24DFB"/>
    <w:rsid w:val="00F25EC8"/>
    <w:rsid w:val="00F27E10"/>
    <w:rsid w:val="00F31346"/>
    <w:rsid w:val="00F3136B"/>
    <w:rsid w:val="00F33EF4"/>
    <w:rsid w:val="00F3546C"/>
    <w:rsid w:val="00F35753"/>
    <w:rsid w:val="00F35BC3"/>
    <w:rsid w:val="00F35BD4"/>
    <w:rsid w:val="00F401A3"/>
    <w:rsid w:val="00F41D96"/>
    <w:rsid w:val="00F425E2"/>
    <w:rsid w:val="00F426AE"/>
    <w:rsid w:val="00F44C75"/>
    <w:rsid w:val="00F45A4E"/>
    <w:rsid w:val="00F467F3"/>
    <w:rsid w:val="00F47A37"/>
    <w:rsid w:val="00F50E4C"/>
    <w:rsid w:val="00F532E5"/>
    <w:rsid w:val="00F54A8C"/>
    <w:rsid w:val="00F575AC"/>
    <w:rsid w:val="00F626FE"/>
    <w:rsid w:val="00F63CB2"/>
    <w:rsid w:val="00F63D7B"/>
    <w:rsid w:val="00F70CD7"/>
    <w:rsid w:val="00F7219E"/>
    <w:rsid w:val="00F72339"/>
    <w:rsid w:val="00F73B1C"/>
    <w:rsid w:val="00F759F9"/>
    <w:rsid w:val="00F76773"/>
    <w:rsid w:val="00F76BBE"/>
    <w:rsid w:val="00F8141D"/>
    <w:rsid w:val="00F82A90"/>
    <w:rsid w:val="00F831E7"/>
    <w:rsid w:val="00F83B51"/>
    <w:rsid w:val="00F8483E"/>
    <w:rsid w:val="00F853D3"/>
    <w:rsid w:val="00F85440"/>
    <w:rsid w:val="00F864FE"/>
    <w:rsid w:val="00F87500"/>
    <w:rsid w:val="00F87914"/>
    <w:rsid w:val="00F90F6A"/>
    <w:rsid w:val="00F92AD1"/>
    <w:rsid w:val="00F952EA"/>
    <w:rsid w:val="00F960A6"/>
    <w:rsid w:val="00F96871"/>
    <w:rsid w:val="00F9732D"/>
    <w:rsid w:val="00F97402"/>
    <w:rsid w:val="00F975E9"/>
    <w:rsid w:val="00F97E07"/>
    <w:rsid w:val="00FA0E21"/>
    <w:rsid w:val="00FA2701"/>
    <w:rsid w:val="00FA2867"/>
    <w:rsid w:val="00FA36DC"/>
    <w:rsid w:val="00FA48EB"/>
    <w:rsid w:val="00FA5365"/>
    <w:rsid w:val="00FA7AF6"/>
    <w:rsid w:val="00FB30EB"/>
    <w:rsid w:val="00FB3342"/>
    <w:rsid w:val="00FB7BD9"/>
    <w:rsid w:val="00FC20EC"/>
    <w:rsid w:val="00FC20F6"/>
    <w:rsid w:val="00FC290C"/>
    <w:rsid w:val="00FC4795"/>
    <w:rsid w:val="00FC5961"/>
    <w:rsid w:val="00FC6570"/>
    <w:rsid w:val="00FC7C61"/>
    <w:rsid w:val="00FD131A"/>
    <w:rsid w:val="00FD4701"/>
    <w:rsid w:val="00FD5507"/>
    <w:rsid w:val="00FD6BA1"/>
    <w:rsid w:val="00FD6E2F"/>
    <w:rsid w:val="00FD7443"/>
    <w:rsid w:val="00FD7FAC"/>
    <w:rsid w:val="00FE05C6"/>
    <w:rsid w:val="00FE1151"/>
    <w:rsid w:val="00FE3899"/>
    <w:rsid w:val="00FE68C2"/>
    <w:rsid w:val="00FE7020"/>
    <w:rsid w:val="00FE7D66"/>
    <w:rsid w:val="00FF0057"/>
    <w:rsid w:val="00FF03B4"/>
    <w:rsid w:val="00FF1196"/>
    <w:rsid w:val="00FF2FFF"/>
    <w:rsid w:val="00FF349F"/>
    <w:rsid w:val="00FF3632"/>
    <w:rsid w:val="00FF36A9"/>
    <w:rsid w:val="00FF3966"/>
    <w:rsid w:val="00F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1778D10-A2FD-4220-8331-2E9E9D6054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4C75"/>
    <w:rPr>
      <w:rFonts w:ascii="Trebuchet MS" w:eastAsia="Times New Roman" w:hAnsi="Trebuchet MS" w:cs="Times New Roman"/>
      <w:sz w:val="20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530F2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30F2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1187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Footnote Text Char Char,Fußnote,single space,footnote text,FOOTNOTES,fn,Podrozdział,Footnote,stile 1,Footnote1,Footnote2,Footnote3,Footnote4,Footnote5,Footnote6,Footnote7,Footnote8,Footnote9,Footnote10,Footnote11,fn Char"/>
    <w:basedOn w:val="Normal"/>
    <w:link w:val="FootnoteTextChar1"/>
    <w:uiPriority w:val="99"/>
    <w:rsid w:val="009A1DB0"/>
    <w:pPr>
      <w:spacing w:after="0"/>
    </w:pPr>
    <w:rPr>
      <w:sz w:val="16"/>
      <w:szCs w:val="20"/>
    </w:rPr>
  </w:style>
  <w:style w:type="character" w:customStyle="1" w:styleId="FootnoteTextChar">
    <w:name w:val="Footnote Text Char"/>
    <w:aliases w:val="Fußnote Char1,fn Char Char Char Char,fn Char Char Char1,fn Char Char1,Fußnote Char Char Char Char1,Fußnote Char Char"/>
    <w:basedOn w:val="DefaultParagraphFont"/>
    <w:rsid w:val="009A1DB0"/>
    <w:rPr>
      <w:rFonts w:ascii="Trebuchet MS" w:eastAsia="Times New Roman" w:hAnsi="Trebuchet MS" w:cs="Times New Roman"/>
      <w:sz w:val="20"/>
      <w:szCs w:val="20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,R"/>
    <w:link w:val="BVIfnrChar1Char"/>
    <w:uiPriority w:val="99"/>
    <w:qFormat/>
    <w:rsid w:val="009A1DB0"/>
    <w:rPr>
      <w:vertAlign w:val="superscript"/>
    </w:rPr>
  </w:style>
  <w:style w:type="character" w:customStyle="1" w:styleId="FootnoteTextChar1">
    <w:name w:val="Footnote Text Char1"/>
    <w:aliases w:val="Footnote Text Char Char Char,Fußnote Char,single space Char,footnote text Char,FOOTNOTES Char,fn Char1,Podrozdział Char,Footnote Char,stile 1 Char,Footnote1 Char,Footnote2 Char,Footnote3 Char,Footnote4 Char,Footnote5 Char"/>
    <w:link w:val="FootnoteText"/>
    <w:rsid w:val="009A1DB0"/>
    <w:rPr>
      <w:rFonts w:ascii="Trebuchet MS" w:eastAsia="Times New Roman" w:hAnsi="Trebuchet MS" w:cs="Times New Roman"/>
      <w:sz w:val="16"/>
      <w:szCs w:val="20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uiPriority w:val="99"/>
    <w:qFormat/>
    <w:rsid w:val="009A1DB0"/>
    <w:pPr>
      <w:spacing w:after="160" w:line="240" w:lineRule="exact"/>
    </w:pPr>
    <w:rPr>
      <w:rFonts w:asciiTheme="minorHAnsi" w:eastAsiaTheme="minorHAnsi" w:hAnsiTheme="minorHAnsi" w:cstheme="minorBidi"/>
      <w:sz w:val="22"/>
      <w:szCs w:val="22"/>
      <w:vertAlign w:val="superscript"/>
    </w:rPr>
  </w:style>
  <w:style w:type="character" w:customStyle="1" w:styleId="5NormalChar">
    <w:name w:val="5 Normal Char"/>
    <w:link w:val="5Normal"/>
    <w:locked/>
    <w:rsid w:val="009A1DB0"/>
    <w:rPr>
      <w:rFonts w:ascii="Verdana" w:hAnsi="Verdana"/>
      <w:spacing w:val="-2"/>
      <w:szCs w:val="24"/>
      <w:lang w:val="en-GB" w:eastAsia="en-GB"/>
    </w:rPr>
  </w:style>
  <w:style w:type="paragraph" w:customStyle="1" w:styleId="5Normal">
    <w:name w:val="5 Normal"/>
    <w:basedOn w:val="Normal"/>
    <w:link w:val="5NormalChar"/>
    <w:qFormat/>
    <w:rsid w:val="009A1DB0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left" w:pos="4253"/>
        <w:tab w:val="left" w:pos="5954"/>
        <w:tab w:val="left" w:pos="8222"/>
        <w:tab w:val="right" w:pos="11057"/>
      </w:tabs>
      <w:suppressAutoHyphens/>
      <w:ind w:right="57"/>
      <w:jc w:val="both"/>
    </w:pPr>
    <w:rPr>
      <w:rFonts w:ascii="Verdana" w:eastAsiaTheme="minorHAnsi" w:hAnsi="Verdana" w:cstheme="minorBidi"/>
      <w:spacing w:val="-2"/>
      <w:sz w:val="22"/>
      <w:lang w:val="en-GB"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A1DB0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1DB0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47895"/>
    <w:pPr>
      <w:ind w:left="720"/>
      <w:contextualSpacing/>
    </w:pPr>
  </w:style>
  <w:style w:type="paragraph" w:customStyle="1" w:styleId="criterii">
    <w:name w:val="criterii"/>
    <w:basedOn w:val="Normal"/>
    <w:rsid w:val="00C47895"/>
    <w:pPr>
      <w:shd w:val="clear" w:color="auto" w:fill="E6E6E6"/>
      <w:spacing w:before="240"/>
      <w:jc w:val="both"/>
    </w:pPr>
    <w:rPr>
      <w:b/>
      <w:bCs/>
      <w:snapToGrid w:val="0"/>
    </w:rPr>
  </w:style>
  <w:style w:type="paragraph" w:styleId="Header">
    <w:name w:val="header"/>
    <w:basedOn w:val="Normal"/>
    <w:link w:val="HeaderChar"/>
    <w:uiPriority w:val="99"/>
    <w:unhideWhenUsed/>
    <w:rsid w:val="003B229B"/>
    <w:pPr>
      <w:tabs>
        <w:tab w:val="center" w:pos="4536"/>
        <w:tab w:val="right" w:pos="9072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3B229B"/>
    <w:rPr>
      <w:rFonts w:ascii="Trebuchet MS" w:eastAsia="Times New Roman" w:hAnsi="Trebuchet MS" w:cs="Times New Roman"/>
      <w:sz w:val="20"/>
      <w:szCs w:val="24"/>
    </w:rPr>
  </w:style>
  <w:style w:type="paragraph" w:styleId="Footer">
    <w:name w:val="footer"/>
    <w:basedOn w:val="Normal"/>
    <w:link w:val="FooterChar"/>
    <w:uiPriority w:val="99"/>
    <w:unhideWhenUsed/>
    <w:rsid w:val="003B229B"/>
    <w:pPr>
      <w:tabs>
        <w:tab w:val="center" w:pos="4536"/>
        <w:tab w:val="right" w:pos="9072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3B229B"/>
    <w:rPr>
      <w:rFonts w:ascii="Trebuchet MS" w:eastAsia="Times New Roman" w:hAnsi="Trebuchet MS" w:cs="Times New Roman"/>
      <w:sz w:val="20"/>
      <w:szCs w:val="24"/>
    </w:rPr>
  </w:style>
  <w:style w:type="character" w:customStyle="1" w:styleId="apple-converted-space">
    <w:name w:val="apple-converted-space"/>
    <w:basedOn w:val="DefaultParagraphFont"/>
    <w:rsid w:val="00864111"/>
  </w:style>
  <w:style w:type="character" w:styleId="Hyperlink">
    <w:name w:val="Hyperlink"/>
    <w:basedOn w:val="DefaultParagraphFont"/>
    <w:uiPriority w:val="99"/>
    <w:unhideWhenUsed/>
    <w:rsid w:val="00864111"/>
    <w:rPr>
      <w:color w:val="0000FF"/>
      <w:u w:val="single"/>
    </w:rPr>
  </w:style>
  <w:style w:type="paragraph" w:customStyle="1" w:styleId="al">
    <w:name w:val="a_l"/>
    <w:basedOn w:val="Normal"/>
    <w:rsid w:val="00BB5C3E"/>
    <w:pPr>
      <w:spacing w:before="100" w:beforeAutospacing="1" w:after="100" w:afterAutospacing="1"/>
    </w:pPr>
    <w:rPr>
      <w:rFonts w:ascii="Times New Roman" w:hAnsi="Times New Roman"/>
      <w:sz w:val="24"/>
      <w:lang w:eastAsia="ro-RO"/>
    </w:rPr>
  </w:style>
  <w:style w:type="character" w:styleId="Strong">
    <w:name w:val="Strong"/>
    <w:basedOn w:val="DefaultParagraphFont"/>
    <w:uiPriority w:val="22"/>
    <w:qFormat/>
    <w:rsid w:val="006F7301"/>
    <w:rPr>
      <w:b/>
      <w:bCs/>
    </w:rPr>
  </w:style>
  <w:style w:type="character" w:customStyle="1" w:styleId="Heading1Char">
    <w:name w:val="Heading 1 Char"/>
    <w:basedOn w:val="DefaultParagraphFont"/>
    <w:link w:val="Heading1"/>
    <w:uiPriority w:val="9"/>
    <w:rsid w:val="00530F2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30F29"/>
    <w:pPr>
      <w:outlineLvl w:val="9"/>
    </w:pPr>
    <w:rPr>
      <w:lang w:val="en-US" w:eastAsia="ja-JP"/>
    </w:rPr>
  </w:style>
  <w:style w:type="paragraph" w:styleId="TOC3">
    <w:name w:val="toc 3"/>
    <w:basedOn w:val="Normal"/>
    <w:next w:val="Normal"/>
    <w:autoRedefine/>
    <w:uiPriority w:val="39"/>
    <w:unhideWhenUsed/>
    <w:rsid w:val="00530F29"/>
    <w:pPr>
      <w:spacing w:after="100"/>
      <w:ind w:left="400"/>
    </w:pPr>
  </w:style>
  <w:style w:type="paragraph" w:styleId="TOC1">
    <w:name w:val="toc 1"/>
    <w:basedOn w:val="Normal"/>
    <w:next w:val="Normal"/>
    <w:autoRedefine/>
    <w:uiPriority w:val="39"/>
    <w:unhideWhenUsed/>
    <w:rsid w:val="00D46840"/>
    <w:pPr>
      <w:tabs>
        <w:tab w:val="left" w:pos="567"/>
        <w:tab w:val="right" w:leader="dot" w:pos="9062"/>
      </w:tabs>
      <w:spacing w:after="100"/>
      <w:ind w:left="142"/>
    </w:pPr>
  </w:style>
  <w:style w:type="character" w:customStyle="1" w:styleId="Heading2Char">
    <w:name w:val="Heading 2 Char"/>
    <w:basedOn w:val="DefaultParagraphFont"/>
    <w:link w:val="Heading2"/>
    <w:uiPriority w:val="9"/>
    <w:rsid w:val="00530F2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OC2">
    <w:name w:val="toc 2"/>
    <w:basedOn w:val="Normal"/>
    <w:next w:val="Normal"/>
    <w:autoRedefine/>
    <w:uiPriority w:val="39"/>
    <w:unhideWhenUsed/>
    <w:rsid w:val="0004267B"/>
    <w:pPr>
      <w:tabs>
        <w:tab w:val="right" w:leader="dot" w:pos="9062"/>
      </w:tabs>
      <w:spacing w:after="100"/>
      <w:ind w:left="426"/>
    </w:pPr>
  </w:style>
  <w:style w:type="character" w:customStyle="1" w:styleId="Heading3Char">
    <w:name w:val="Heading 3 Char"/>
    <w:basedOn w:val="DefaultParagraphFont"/>
    <w:link w:val="Heading3"/>
    <w:uiPriority w:val="9"/>
    <w:rsid w:val="00411879"/>
    <w:rPr>
      <w:rFonts w:asciiTheme="majorHAnsi" w:eastAsiaTheme="majorEastAsia" w:hAnsiTheme="majorHAnsi" w:cstheme="majorBidi"/>
      <w:b/>
      <w:bCs/>
      <w:color w:val="4F81BD" w:themeColor="accent1"/>
      <w:sz w:val="20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EF6D0C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EF6D0C"/>
    <w:rPr>
      <w:szCs w:val="20"/>
    </w:rPr>
  </w:style>
  <w:style w:type="character" w:customStyle="1" w:styleId="CommentTextChar">
    <w:name w:val="Comment Text Char"/>
    <w:basedOn w:val="DefaultParagraphFont"/>
    <w:link w:val="CommentText"/>
    <w:rsid w:val="00EF6D0C"/>
    <w:rPr>
      <w:rFonts w:ascii="Trebuchet MS" w:eastAsia="Times New Roman" w:hAnsi="Trebuchet MS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F6D0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F6D0C"/>
    <w:rPr>
      <w:rFonts w:ascii="Trebuchet MS" w:eastAsia="Times New Roman" w:hAnsi="Trebuchet MS" w:cs="Times New Roman"/>
      <w:b/>
      <w:bCs/>
      <w:sz w:val="20"/>
      <w:szCs w:val="20"/>
    </w:rPr>
  </w:style>
  <w:style w:type="paragraph" w:styleId="BodyText">
    <w:name w:val="Body Text"/>
    <w:basedOn w:val="Normal"/>
    <w:link w:val="BodyTextChar"/>
    <w:uiPriority w:val="99"/>
    <w:rsid w:val="00853B2B"/>
    <w:rPr>
      <w:rFonts w:ascii="Calibri" w:eastAsia="Calibri" w:hAnsi="Calibri"/>
      <w:sz w:val="22"/>
      <w:szCs w:val="22"/>
    </w:rPr>
  </w:style>
  <w:style w:type="character" w:customStyle="1" w:styleId="BodyTextChar">
    <w:name w:val="Body Text Char"/>
    <w:basedOn w:val="DefaultParagraphFont"/>
    <w:link w:val="BodyText"/>
    <w:uiPriority w:val="99"/>
    <w:rsid w:val="00853B2B"/>
    <w:rPr>
      <w:rFonts w:ascii="Calibri" w:eastAsia="Calibri" w:hAnsi="Calibri" w:cs="Times New Roman"/>
    </w:rPr>
  </w:style>
  <w:style w:type="table" w:styleId="TableGrid">
    <w:name w:val="Table Grid"/>
    <w:basedOn w:val="TableNormal"/>
    <w:uiPriority w:val="59"/>
    <w:rsid w:val="00D156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link w:val="BodyText2Char"/>
    <w:rsid w:val="00CA79F5"/>
    <w:pPr>
      <w:spacing w:after="120" w:line="480" w:lineRule="auto"/>
    </w:pPr>
    <w:rPr>
      <w:rFonts w:ascii="Times New Roman" w:hAnsi="Times New Roman"/>
      <w:sz w:val="24"/>
      <w:lang w:eastAsia="ro-RO"/>
    </w:rPr>
  </w:style>
  <w:style w:type="character" w:customStyle="1" w:styleId="BodyText2Char">
    <w:name w:val="Body Text 2 Char"/>
    <w:basedOn w:val="DefaultParagraphFont"/>
    <w:link w:val="BodyText2"/>
    <w:rsid w:val="00CA79F5"/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styleId="NoSpacing">
    <w:name w:val="No Spacing"/>
    <w:uiPriority w:val="1"/>
    <w:qFormat/>
    <w:rsid w:val="009A5E72"/>
    <w:pPr>
      <w:spacing w:after="0" w:line="240" w:lineRule="auto"/>
    </w:pPr>
    <w:rPr>
      <w:rFonts w:ascii="Trebuchet MS" w:eastAsia="Times New Roman" w:hAnsi="Trebuchet MS" w:cs="Times New Roman"/>
      <w:sz w:val="20"/>
      <w:szCs w:val="24"/>
    </w:rPr>
  </w:style>
  <w:style w:type="paragraph" w:customStyle="1" w:styleId="CM1">
    <w:name w:val="CM1"/>
    <w:basedOn w:val="Normal"/>
    <w:next w:val="Normal"/>
    <w:uiPriority w:val="99"/>
    <w:rsid w:val="00887D31"/>
    <w:pPr>
      <w:autoSpaceDE w:val="0"/>
      <w:autoSpaceDN w:val="0"/>
      <w:adjustRightInd w:val="0"/>
      <w:spacing w:after="0" w:line="240" w:lineRule="auto"/>
    </w:pPr>
    <w:rPr>
      <w:rFonts w:ascii="EUAlbertina" w:eastAsiaTheme="minorHAnsi" w:hAnsi="EUAlbertina" w:cstheme="minorBidi"/>
      <w:sz w:val="24"/>
      <w:lang w:val="en-US"/>
    </w:rPr>
  </w:style>
  <w:style w:type="paragraph" w:customStyle="1" w:styleId="CM3">
    <w:name w:val="CM3"/>
    <w:basedOn w:val="Normal"/>
    <w:next w:val="Normal"/>
    <w:uiPriority w:val="99"/>
    <w:rsid w:val="00887D31"/>
    <w:pPr>
      <w:autoSpaceDE w:val="0"/>
      <w:autoSpaceDN w:val="0"/>
      <w:adjustRightInd w:val="0"/>
      <w:spacing w:after="0" w:line="240" w:lineRule="auto"/>
    </w:pPr>
    <w:rPr>
      <w:rFonts w:ascii="EUAlbertina" w:eastAsiaTheme="minorHAnsi" w:hAnsi="EUAlbertina" w:cstheme="minorBidi"/>
      <w:sz w:val="24"/>
      <w:lang w:val="en-US"/>
    </w:rPr>
  </w:style>
  <w:style w:type="paragraph" w:customStyle="1" w:styleId="CM4">
    <w:name w:val="CM4"/>
    <w:basedOn w:val="Normal"/>
    <w:next w:val="Normal"/>
    <w:uiPriority w:val="99"/>
    <w:rsid w:val="00887D31"/>
    <w:pPr>
      <w:autoSpaceDE w:val="0"/>
      <w:autoSpaceDN w:val="0"/>
      <w:adjustRightInd w:val="0"/>
      <w:spacing w:after="0" w:line="240" w:lineRule="auto"/>
    </w:pPr>
    <w:rPr>
      <w:rFonts w:ascii="EUAlbertina" w:eastAsiaTheme="minorHAnsi" w:hAnsi="EUAlbertina" w:cstheme="minorBidi"/>
      <w:sz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907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8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nforegio.ro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404B60-3661-4413-B51A-6A28450C6D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10</Pages>
  <Words>2989</Words>
  <Characters>17338</Characters>
  <Application>Microsoft Office Word</Application>
  <DocSecurity>0</DocSecurity>
  <Lines>144</Lines>
  <Paragraphs>40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20287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Veronica FRINCU</dc:creator>
  <cp:lastModifiedBy>Irina Nichifor</cp:lastModifiedBy>
  <cp:revision>6</cp:revision>
  <cp:lastPrinted>2017-07-03T14:20:00Z</cp:lastPrinted>
  <dcterms:created xsi:type="dcterms:W3CDTF">2017-07-03T10:03:00Z</dcterms:created>
  <dcterms:modified xsi:type="dcterms:W3CDTF">2017-07-04T10:03:00Z</dcterms:modified>
</cp:coreProperties>
</file>